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177" w:rsidRPr="00B67177" w:rsidRDefault="00B67177" w:rsidP="00B67177">
      <w:pPr>
        <w:spacing w:line="240" w:lineRule="auto"/>
        <w:rPr>
          <w:rFonts w:ascii="Tahoma" w:hAnsi="Tahoma" w:cs="Tahoma"/>
          <w:b/>
          <w:sz w:val="20"/>
          <w:szCs w:val="20"/>
        </w:rPr>
      </w:pPr>
    </w:p>
    <w:p w:rsidR="00B67177" w:rsidRPr="00B67177" w:rsidRDefault="00B67177" w:rsidP="00B67177">
      <w:pPr>
        <w:pStyle w:val="Textoindependiente"/>
        <w:widowControl w:val="0"/>
        <w:tabs>
          <w:tab w:val="left" w:pos="2410"/>
          <w:tab w:val="left" w:pos="3261"/>
          <w:tab w:val="left" w:pos="3686"/>
          <w:tab w:val="left" w:pos="5954"/>
          <w:tab w:val="left" w:pos="6946"/>
        </w:tabs>
        <w:suppressAutoHyphens/>
        <w:spacing w:after="0" w:line="240" w:lineRule="auto"/>
        <w:ind w:left="3261" w:right="2267" w:hanging="1134"/>
        <w:jc w:val="both"/>
        <w:rPr>
          <w:rFonts w:ascii="Tahoma" w:hAnsi="Tahoma" w:cs="Tahoma"/>
          <w:i/>
          <w:sz w:val="20"/>
          <w:szCs w:val="20"/>
          <w:lang w:val="es-PE"/>
        </w:rPr>
      </w:pPr>
      <w:r w:rsidRPr="00B67177">
        <w:rPr>
          <w:rFonts w:ascii="Tahoma" w:hAnsi="Tahoma" w:cs="Tahoma"/>
          <w:b/>
          <w:i/>
          <w:sz w:val="20"/>
          <w:szCs w:val="20"/>
        </w:rPr>
        <w:t xml:space="preserve">Sumilla:  </w:t>
      </w:r>
      <w:r w:rsidRPr="00B67177">
        <w:rPr>
          <w:rFonts w:ascii="Tahoma" w:hAnsi="Tahoma" w:cs="Tahoma"/>
          <w:i/>
          <w:sz w:val="20"/>
          <w:szCs w:val="20"/>
          <w:lang w:val="es-MX"/>
        </w:rPr>
        <w:t xml:space="preserve">Para </w:t>
      </w:r>
      <w:r w:rsidRPr="00B67177">
        <w:rPr>
          <w:rFonts w:ascii="Tahoma" w:hAnsi="Tahoma" w:cs="Tahoma"/>
          <w:i/>
          <w:sz w:val="20"/>
          <w:szCs w:val="20"/>
        </w:rPr>
        <w:t>la configuración del supuesto de hecho de la norma  se requiere acreditar la falsedad o inexactitud del documento cuestionado; es decir, que éste no haya sido expedido por el órgano emisor correspondiente, o que siendo válidamente expedido haya sido adulterado en su contenido,  produciendo un falseamiento de la realidad.</w:t>
      </w:r>
    </w:p>
    <w:p w:rsidR="00B67177" w:rsidRPr="00B67177" w:rsidRDefault="00B67177" w:rsidP="00B67177">
      <w:pPr>
        <w:pStyle w:val="Textoindependiente3"/>
        <w:spacing w:after="0"/>
        <w:ind w:left="4248" w:right="179" w:firstLine="708"/>
        <w:jc w:val="both"/>
        <w:rPr>
          <w:rFonts w:ascii="Tahoma" w:hAnsi="Tahoma" w:cs="Tahoma"/>
          <w:b/>
          <w:sz w:val="20"/>
          <w:szCs w:val="20"/>
        </w:rPr>
      </w:pPr>
    </w:p>
    <w:p w:rsidR="00B67177" w:rsidRPr="00B67177" w:rsidRDefault="00B67177" w:rsidP="00B67177">
      <w:pPr>
        <w:pStyle w:val="Textoindependiente3"/>
        <w:spacing w:after="0"/>
        <w:ind w:left="4248" w:right="179" w:firstLine="708"/>
        <w:jc w:val="both"/>
        <w:rPr>
          <w:rFonts w:ascii="Tahoma" w:hAnsi="Tahoma" w:cs="Tahoma"/>
          <w:sz w:val="20"/>
          <w:szCs w:val="20"/>
        </w:rPr>
      </w:pPr>
      <w:r w:rsidRPr="00B67177">
        <w:rPr>
          <w:rFonts w:ascii="Tahoma" w:hAnsi="Tahoma" w:cs="Tahoma"/>
          <w:b/>
          <w:sz w:val="20"/>
          <w:szCs w:val="20"/>
        </w:rPr>
        <w:t>Lima</w:t>
      </w:r>
      <w:r w:rsidRPr="00B67177">
        <w:rPr>
          <w:rFonts w:ascii="Tahoma" w:hAnsi="Tahoma" w:cs="Tahoma"/>
          <w:sz w:val="20"/>
          <w:szCs w:val="20"/>
        </w:rPr>
        <w:t xml:space="preserve">, </w:t>
      </w:r>
      <w:r w:rsidR="000016C2">
        <w:rPr>
          <w:rFonts w:ascii="Tahoma" w:hAnsi="Tahoma" w:cs="Tahoma"/>
          <w:sz w:val="20"/>
          <w:szCs w:val="20"/>
        </w:rPr>
        <w:t>04 de Abril de 2011</w:t>
      </w:r>
    </w:p>
    <w:p w:rsidR="00B67177" w:rsidRPr="00B67177" w:rsidRDefault="00B67177" w:rsidP="00B67177">
      <w:pPr>
        <w:pStyle w:val="Textoindependiente3"/>
        <w:spacing w:after="0"/>
        <w:jc w:val="both"/>
        <w:rPr>
          <w:rFonts w:ascii="Tahoma" w:hAnsi="Tahoma" w:cs="Tahoma"/>
          <w:sz w:val="20"/>
          <w:szCs w:val="20"/>
        </w:rPr>
      </w:pPr>
    </w:p>
    <w:p w:rsidR="00B67177" w:rsidRPr="00B67177" w:rsidRDefault="00B67177" w:rsidP="00B67177">
      <w:pPr>
        <w:spacing w:after="0" w:line="240" w:lineRule="auto"/>
        <w:jc w:val="both"/>
        <w:rPr>
          <w:rFonts w:ascii="Tahoma" w:hAnsi="Tahoma" w:cs="Tahoma"/>
          <w:sz w:val="20"/>
          <w:szCs w:val="20"/>
        </w:rPr>
      </w:pPr>
      <w:r w:rsidRPr="00B67177">
        <w:rPr>
          <w:rFonts w:ascii="Tahoma" w:hAnsi="Tahoma" w:cs="Tahoma"/>
          <w:b/>
          <w:sz w:val="20"/>
          <w:szCs w:val="20"/>
        </w:rPr>
        <w:t>VISTO</w:t>
      </w:r>
      <w:r w:rsidRPr="00B67177">
        <w:rPr>
          <w:rFonts w:ascii="Tahoma" w:hAnsi="Tahoma" w:cs="Tahoma"/>
          <w:sz w:val="20"/>
          <w:szCs w:val="20"/>
        </w:rPr>
        <w:t xml:space="preserve"> en sesión de fecha 0</w:t>
      </w:r>
      <w:r w:rsidR="00F25C48">
        <w:rPr>
          <w:rFonts w:ascii="Tahoma" w:hAnsi="Tahoma" w:cs="Tahoma"/>
          <w:sz w:val="20"/>
          <w:szCs w:val="20"/>
        </w:rPr>
        <w:t>4</w:t>
      </w:r>
      <w:r w:rsidRPr="00B67177">
        <w:rPr>
          <w:rFonts w:ascii="Tahoma" w:hAnsi="Tahoma" w:cs="Tahoma"/>
          <w:sz w:val="20"/>
          <w:szCs w:val="20"/>
        </w:rPr>
        <w:t xml:space="preserve"> de </w:t>
      </w:r>
      <w:r w:rsidR="00F25C48">
        <w:rPr>
          <w:rFonts w:ascii="Tahoma" w:hAnsi="Tahoma" w:cs="Tahoma"/>
          <w:sz w:val="20"/>
          <w:szCs w:val="20"/>
        </w:rPr>
        <w:t xml:space="preserve">abril </w:t>
      </w:r>
      <w:r w:rsidRPr="00B67177">
        <w:rPr>
          <w:rFonts w:ascii="Tahoma" w:hAnsi="Tahoma" w:cs="Tahoma"/>
          <w:sz w:val="20"/>
          <w:szCs w:val="20"/>
        </w:rPr>
        <w:t>de 2011 de la Primera Sala del Tribunal de Contrataciones del Estado el Expediente № 1</w:t>
      </w:r>
      <w:r w:rsidR="005116A1">
        <w:rPr>
          <w:rFonts w:ascii="Tahoma" w:hAnsi="Tahoma" w:cs="Tahoma"/>
          <w:sz w:val="20"/>
          <w:szCs w:val="20"/>
        </w:rPr>
        <w:t>191</w:t>
      </w:r>
      <w:r w:rsidRPr="00B67177">
        <w:rPr>
          <w:rFonts w:ascii="Tahoma" w:hAnsi="Tahoma" w:cs="Tahoma"/>
          <w:sz w:val="20"/>
          <w:szCs w:val="20"/>
        </w:rPr>
        <w:t xml:space="preserve">/2010.TC, sobre el procedimiento administrativo sancionador contra </w:t>
      </w:r>
      <w:r w:rsidRPr="00B67177">
        <w:rPr>
          <w:rFonts w:ascii="Tahoma" w:hAnsi="Tahoma" w:cs="Tahoma"/>
          <w:sz w:val="20"/>
          <w:szCs w:val="20"/>
          <w:lang w:val="es-PE"/>
        </w:rPr>
        <w:t xml:space="preserve">la empresa </w:t>
      </w:r>
      <w:r w:rsidR="0032361A" w:rsidRPr="00B67177">
        <w:rPr>
          <w:rFonts w:ascii="Tahoma" w:hAnsi="Tahoma" w:cs="Tahoma"/>
          <w:b/>
          <w:bCs/>
          <w:sz w:val="20"/>
        </w:rPr>
        <w:t>DISTRIBUIDORA ARCANGEL S.A.C.</w:t>
      </w:r>
      <w:r w:rsidRPr="00B67177">
        <w:rPr>
          <w:rFonts w:ascii="Tahoma" w:hAnsi="Tahoma" w:cs="Tahoma"/>
          <w:sz w:val="20"/>
          <w:szCs w:val="20"/>
        </w:rPr>
        <w:t xml:space="preserve">, </w:t>
      </w:r>
      <w:r w:rsidRPr="00B67177">
        <w:rPr>
          <w:rFonts w:ascii="Tahoma" w:hAnsi="Tahoma" w:cs="Tahoma"/>
          <w:sz w:val="20"/>
          <w:szCs w:val="20"/>
          <w:lang w:val="es-MX"/>
        </w:rPr>
        <w:t>por</w:t>
      </w:r>
      <w:r w:rsidR="003B6C31">
        <w:rPr>
          <w:rFonts w:ascii="Tahoma" w:hAnsi="Tahoma" w:cs="Tahoma"/>
          <w:sz w:val="20"/>
          <w:szCs w:val="20"/>
          <w:lang w:val="es-MX"/>
        </w:rPr>
        <w:t xml:space="preserve"> la presentación de documentos con información inexacta</w:t>
      </w:r>
      <w:r w:rsidRPr="00B67177">
        <w:rPr>
          <w:rFonts w:ascii="Tahoma" w:hAnsi="Tahoma" w:cs="Tahoma"/>
          <w:sz w:val="20"/>
          <w:szCs w:val="20"/>
          <w:lang w:val="es-MX"/>
        </w:rPr>
        <w:t xml:space="preserve"> durante </w:t>
      </w:r>
      <w:r w:rsidR="003B6C31">
        <w:rPr>
          <w:rFonts w:ascii="Tahoma" w:hAnsi="Tahoma" w:cs="Tahoma"/>
          <w:sz w:val="20"/>
          <w:szCs w:val="20"/>
          <w:lang w:val="es-MX"/>
        </w:rPr>
        <w:t xml:space="preserve">el desarrollo de la </w:t>
      </w:r>
      <w:r w:rsidR="003B6C31" w:rsidRPr="00B67177">
        <w:rPr>
          <w:rFonts w:ascii="Tahoma" w:hAnsi="Tahoma" w:cs="Tahoma"/>
          <w:sz w:val="20"/>
        </w:rPr>
        <w:t>Licitación Pública N° 001-2009/CE/LP/PVL/MDCH, efectuada para la adquisición de leche evaporada y hojuelas de quinua y avena para el programa del vaso de leche</w:t>
      </w:r>
      <w:r w:rsidR="00B33359">
        <w:rPr>
          <w:rFonts w:ascii="Tahoma" w:hAnsi="Tahoma" w:cs="Tahoma"/>
          <w:sz w:val="20"/>
        </w:rPr>
        <w:t xml:space="preserve">, oído el </w:t>
      </w:r>
      <w:r w:rsidR="002A7F35">
        <w:rPr>
          <w:rFonts w:ascii="Tahoma" w:hAnsi="Tahoma" w:cs="Tahoma"/>
          <w:sz w:val="20"/>
        </w:rPr>
        <w:t>informe</w:t>
      </w:r>
      <w:r w:rsidR="00B33359">
        <w:rPr>
          <w:rFonts w:ascii="Tahoma" w:hAnsi="Tahoma" w:cs="Tahoma"/>
          <w:sz w:val="20"/>
        </w:rPr>
        <w:t xml:space="preserve"> oral </w:t>
      </w:r>
      <w:r w:rsidR="002A7F35">
        <w:rPr>
          <w:rFonts w:ascii="Tahoma" w:hAnsi="Tahoma" w:cs="Tahoma"/>
          <w:sz w:val="20"/>
        </w:rPr>
        <w:t xml:space="preserve">en la audiencia pública de fecha </w:t>
      </w:r>
      <w:r w:rsidR="00436375">
        <w:rPr>
          <w:rFonts w:ascii="Tahoma" w:hAnsi="Tahoma" w:cs="Tahoma"/>
          <w:sz w:val="20"/>
        </w:rPr>
        <w:t>17 de marzo de 2011</w:t>
      </w:r>
      <w:r w:rsidRPr="00B67177">
        <w:rPr>
          <w:rFonts w:ascii="Tahoma" w:hAnsi="Tahoma" w:cs="Tahoma"/>
          <w:sz w:val="20"/>
          <w:szCs w:val="20"/>
        </w:rPr>
        <w:t xml:space="preserve">; y, atendiendo a los siguientes:   </w:t>
      </w:r>
    </w:p>
    <w:p w:rsidR="00B67177" w:rsidRPr="00B67177" w:rsidRDefault="00B67177" w:rsidP="00B67177">
      <w:pPr>
        <w:spacing w:after="0" w:line="240" w:lineRule="auto"/>
        <w:ind w:right="45"/>
        <w:jc w:val="both"/>
        <w:rPr>
          <w:rFonts w:ascii="Tahoma" w:hAnsi="Tahoma" w:cs="Tahoma"/>
          <w:sz w:val="20"/>
          <w:szCs w:val="20"/>
        </w:rPr>
      </w:pPr>
    </w:p>
    <w:p w:rsidR="00B67177" w:rsidRPr="00B67177" w:rsidRDefault="00B67177" w:rsidP="00B67177">
      <w:pPr>
        <w:pStyle w:val="Ttulo2"/>
        <w:jc w:val="both"/>
        <w:rPr>
          <w:rFonts w:cs="Tahoma"/>
          <w:sz w:val="20"/>
        </w:rPr>
      </w:pPr>
      <w:r w:rsidRPr="00B67177">
        <w:rPr>
          <w:rFonts w:cs="Tahoma"/>
          <w:sz w:val="20"/>
        </w:rPr>
        <w:t>ANTECEDENTES:</w:t>
      </w:r>
    </w:p>
    <w:p w:rsidR="00B67177" w:rsidRDefault="00B67177" w:rsidP="00B67177">
      <w:pPr>
        <w:pStyle w:val="Prrafodelista"/>
        <w:widowControl/>
        <w:suppressAutoHyphens w:val="0"/>
        <w:ind w:left="454"/>
        <w:jc w:val="both"/>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El 28 de diciembre de 2009, la Municipalidad Distrital de Chilca - Huancayo, en lo sucesivo La Entidad, convocó a la Licitación Pública N° 001-2009/CE/LP/PVL/MDCH, efectuada para la adquisición de leche evaporada y hojuelas de quinua y avena para el programa del vaso de leche, por un valor referencial ascendente a S/. 916, 464.00 Nuevos Soles.</w:t>
      </w:r>
    </w:p>
    <w:p w:rsidR="00B67177" w:rsidRPr="00B67177" w:rsidRDefault="00B67177" w:rsidP="00B67177">
      <w:pPr>
        <w:pStyle w:val="Prrafodelista"/>
        <w:ind w:left="454"/>
        <w:jc w:val="both"/>
        <w:rPr>
          <w:rFonts w:ascii="Tahoma" w:hAnsi="Tahoma" w:cs="Tahoma"/>
          <w:sz w:val="20"/>
        </w:rPr>
      </w:pPr>
    </w:p>
    <w:p w:rsidR="00B67177" w:rsidRPr="00B67177" w:rsidRDefault="00B67177" w:rsidP="00B67177">
      <w:pPr>
        <w:pStyle w:val="Prrafodelista"/>
        <w:ind w:left="454"/>
        <w:jc w:val="both"/>
        <w:rPr>
          <w:rFonts w:ascii="Tahoma" w:hAnsi="Tahoma" w:cs="Tahoma"/>
          <w:sz w:val="20"/>
        </w:rPr>
      </w:pPr>
      <w:r w:rsidRPr="00B67177">
        <w:rPr>
          <w:rFonts w:ascii="Tahoma" w:hAnsi="Tahoma" w:cs="Tahoma"/>
          <w:sz w:val="20"/>
        </w:rPr>
        <w:t>Dicho proceso de selección incluía los siguientes ítems:</w:t>
      </w:r>
    </w:p>
    <w:p w:rsidR="00B67177" w:rsidRPr="00B67177" w:rsidRDefault="00B67177" w:rsidP="00B67177">
      <w:pPr>
        <w:spacing w:line="240" w:lineRule="auto"/>
        <w:ind w:firstLine="709"/>
        <w:rPr>
          <w:rFonts w:ascii="Tahoma" w:hAnsi="Tahoma" w:cs="Tahoma"/>
          <w:sz w:val="20"/>
          <w:szCs w:val="20"/>
        </w:rPr>
      </w:pPr>
    </w:p>
    <w:p w:rsidR="00B67177" w:rsidRPr="00B67177" w:rsidRDefault="00B67177" w:rsidP="00B67177">
      <w:pPr>
        <w:spacing w:line="240" w:lineRule="auto"/>
        <w:ind w:firstLine="709"/>
        <w:rPr>
          <w:rFonts w:ascii="Tahoma" w:hAnsi="Tahoma" w:cs="Tahoma"/>
          <w:sz w:val="20"/>
          <w:szCs w:val="20"/>
        </w:rPr>
      </w:pPr>
      <w:r w:rsidRPr="00B67177">
        <w:rPr>
          <w:rFonts w:ascii="Tahoma" w:hAnsi="Tahoma" w:cs="Tahoma"/>
          <w:sz w:val="20"/>
          <w:szCs w:val="20"/>
        </w:rPr>
        <w:t xml:space="preserve">ITEM    I: </w:t>
      </w:r>
      <w:r w:rsidRPr="00B67177">
        <w:rPr>
          <w:rFonts w:ascii="Tahoma" w:hAnsi="Tahoma" w:cs="Tahoma"/>
          <w:sz w:val="20"/>
          <w:szCs w:val="20"/>
        </w:rPr>
        <w:tab/>
      </w:r>
      <w:r w:rsidRPr="00B67177">
        <w:rPr>
          <w:rFonts w:ascii="Tahoma" w:hAnsi="Tahoma" w:cs="Tahoma"/>
          <w:b/>
          <w:bCs/>
          <w:sz w:val="20"/>
          <w:szCs w:val="20"/>
        </w:rPr>
        <w:t>LECHE EVAPORADA ENTERA EN TARRO</w:t>
      </w:r>
    </w:p>
    <w:p w:rsidR="00B67177" w:rsidRPr="00B67177" w:rsidRDefault="00B67177" w:rsidP="00B67177">
      <w:pPr>
        <w:spacing w:line="240" w:lineRule="auto"/>
        <w:ind w:left="1418" w:firstLine="709"/>
        <w:rPr>
          <w:rFonts w:ascii="Tahoma" w:hAnsi="Tahoma" w:cs="Tahoma"/>
          <w:sz w:val="20"/>
          <w:szCs w:val="20"/>
        </w:rPr>
      </w:pPr>
      <w:r w:rsidRPr="00B67177">
        <w:rPr>
          <w:rFonts w:ascii="Tahoma" w:hAnsi="Tahoma" w:cs="Tahoma"/>
          <w:sz w:val="20"/>
          <w:szCs w:val="20"/>
        </w:rPr>
        <w:t>240,384 Unidades de 410 gramos c/u.</w:t>
      </w:r>
    </w:p>
    <w:p w:rsidR="00B67177" w:rsidRPr="00B67177" w:rsidRDefault="00B67177" w:rsidP="00B67177">
      <w:pPr>
        <w:spacing w:line="240" w:lineRule="auto"/>
        <w:ind w:left="2127" w:hanging="1418"/>
        <w:rPr>
          <w:rFonts w:ascii="Tahoma" w:hAnsi="Tahoma" w:cs="Tahoma"/>
          <w:sz w:val="20"/>
          <w:szCs w:val="20"/>
        </w:rPr>
      </w:pPr>
      <w:r w:rsidRPr="00B67177">
        <w:rPr>
          <w:rFonts w:ascii="Tahoma" w:hAnsi="Tahoma" w:cs="Tahoma"/>
          <w:sz w:val="20"/>
          <w:szCs w:val="20"/>
        </w:rPr>
        <w:t xml:space="preserve">ITEM   II: </w:t>
      </w:r>
      <w:r w:rsidRPr="00B67177">
        <w:rPr>
          <w:rFonts w:ascii="Tahoma" w:hAnsi="Tahoma" w:cs="Tahoma"/>
          <w:sz w:val="20"/>
          <w:szCs w:val="20"/>
        </w:rPr>
        <w:tab/>
      </w:r>
      <w:r w:rsidRPr="00B67177">
        <w:rPr>
          <w:rFonts w:ascii="Tahoma" w:hAnsi="Tahoma" w:cs="Tahoma"/>
          <w:b/>
          <w:bCs/>
          <w:sz w:val="20"/>
          <w:szCs w:val="20"/>
        </w:rPr>
        <w:t>HOJUELAS De QUINUA  Y AVENA PRECOCIDA FORTIFICADA CON VITAMINAS Y MINERALES</w:t>
      </w:r>
      <w:r w:rsidRPr="00B67177">
        <w:rPr>
          <w:rFonts w:ascii="Tahoma" w:hAnsi="Tahoma" w:cs="Tahoma"/>
          <w:sz w:val="20"/>
          <w:szCs w:val="20"/>
        </w:rPr>
        <w:t>.</w:t>
      </w:r>
    </w:p>
    <w:p w:rsidR="00B67177" w:rsidRPr="00B67177" w:rsidRDefault="00B67177" w:rsidP="00B67177">
      <w:pPr>
        <w:spacing w:line="240" w:lineRule="auto"/>
        <w:ind w:left="1418" w:firstLine="709"/>
        <w:rPr>
          <w:rFonts w:ascii="Tahoma" w:hAnsi="Tahoma" w:cs="Tahoma"/>
          <w:sz w:val="20"/>
          <w:szCs w:val="20"/>
        </w:rPr>
      </w:pPr>
      <w:r w:rsidRPr="00B67177">
        <w:rPr>
          <w:rFonts w:ascii="Tahoma" w:hAnsi="Tahoma" w:cs="Tahoma"/>
          <w:sz w:val="20"/>
          <w:szCs w:val="20"/>
        </w:rPr>
        <w:t>300,480 Unidades de 225 gramos c/u.</w:t>
      </w:r>
    </w:p>
    <w:p w:rsidR="00B67177" w:rsidRPr="00B67177" w:rsidRDefault="00B67177" w:rsidP="00B67177">
      <w:pPr>
        <w:pStyle w:val="Prrafodelista"/>
        <w:ind w:left="454"/>
        <w:jc w:val="both"/>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 xml:space="preserve">El 17 de febrero de 2010, se llevó a cabo el acto  público de presentación de propuesta y otorgamiento de la Buena pro, en el cual se adjudicó respecto del ítem Nº 02 a la empresa </w:t>
      </w:r>
      <w:r w:rsidRPr="00B67177">
        <w:rPr>
          <w:rFonts w:ascii="Tahoma" w:hAnsi="Tahoma" w:cs="Tahoma"/>
          <w:b/>
          <w:bCs/>
          <w:sz w:val="20"/>
        </w:rPr>
        <w:t>DISTRIBUIDORA ARCANGEL S.A.C.</w:t>
      </w:r>
      <w:r w:rsidRPr="00B67177">
        <w:rPr>
          <w:rFonts w:ascii="Tahoma" w:hAnsi="Tahoma" w:cs="Tahoma"/>
          <w:sz w:val="20"/>
        </w:rPr>
        <w:t>, en adelante el Postor.</w:t>
      </w:r>
    </w:p>
    <w:p w:rsidR="00B67177" w:rsidRPr="00B67177" w:rsidRDefault="00B67177" w:rsidP="00B67177">
      <w:pPr>
        <w:pStyle w:val="Prrafodelista"/>
        <w:ind w:left="454"/>
        <w:jc w:val="both"/>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 xml:space="preserve">Con Resolución de Alcaldía Nº 075-2010-MDCH/A de fecha 15 de marzo de 2010, se declaró la nulidad de oficio del proceso de selección de la referida Licitación Pública </w:t>
      </w:r>
      <w:r w:rsidRPr="00B67177">
        <w:rPr>
          <w:rFonts w:ascii="Tahoma" w:hAnsi="Tahoma" w:cs="Tahoma"/>
          <w:sz w:val="20"/>
        </w:rPr>
        <w:lastRenderedPageBreak/>
        <w:t xml:space="preserve">respecto del Item Nº 02, retrotrayéndose a la etapa de evaluación y calificación de propuestas; etapa en la que el Comité Especial previa a la evaluación y calificación de propuestas, advierte deficiencias en el cumplimiento de los requerimientos técnicos mínimos; optando por declarar desierto el proceso de selección. En dicho acto se señaló que la empresa </w:t>
      </w:r>
      <w:r w:rsidRPr="00B67177">
        <w:rPr>
          <w:rFonts w:ascii="Tahoma" w:hAnsi="Tahoma" w:cs="Tahoma"/>
          <w:b/>
          <w:bCs/>
          <w:sz w:val="20"/>
        </w:rPr>
        <w:t>Distribuidora Arcangel S.A.C.,</w:t>
      </w:r>
      <w:r w:rsidRPr="00B67177">
        <w:rPr>
          <w:rFonts w:ascii="Tahoma" w:hAnsi="Tahoma" w:cs="Tahoma"/>
          <w:sz w:val="20"/>
        </w:rPr>
        <w:t xml:space="preserve"> en adelante el Postor, no cumplía con los requisitos técnicos mínimo al </w:t>
      </w:r>
      <w:r w:rsidRPr="00B67177">
        <w:rPr>
          <w:rFonts w:ascii="Tahoma" w:hAnsi="Tahoma" w:cs="Tahoma"/>
          <w:b/>
          <w:bCs/>
          <w:sz w:val="20"/>
        </w:rPr>
        <w:t xml:space="preserve"> </w:t>
      </w:r>
      <w:r w:rsidRPr="00B67177">
        <w:rPr>
          <w:rFonts w:ascii="Tahoma" w:hAnsi="Tahoma" w:cs="Tahoma"/>
          <w:sz w:val="20"/>
        </w:rPr>
        <w:t>presentar la Resolución Directoral De Habilitación Sanitaria y La Resolución Directoral De Otorgamiento Validación Técnica Oficial Del Plan Haccp incompleta.</w:t>
      </w:r>
    </w:p>
    <w:p w:rsidR="00B67177" w:rsidRPr="00B67177" w:rsidRDefault="00B67177" w:rsidP="00B67177">
      <w:pPr>
        <w:pStyle w:val="Prrafodelista"/>
        <w:ind w:left="454"/>
        <w:jc w:val="both"/>
        <w:rPr>
          <w:rFonts w:ascii="Tahoma" w:hAnsi="Tahoma" w:cs="Tahoma"/>
          <w:sz w:val="20"/>
          <w:highlight w:val="yellow"/>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El 13 de abril de 2010, el Postor presentó recurso de apelación contra la declaratoria de desierto y contra su descalificación.</w:t>
      </w:r>
    </w:p>
    <w:p w:rsidR="00B67177" w:rsidRPr="00B67177" w:rsidRDefault="00B67177" w:rsidP="00B67177">
      <w:pPr>
        <w:pStyle w:val="Prrafodelista"/>
        <w:rPr>
          <w:rFonts w:ascii="Tahoma" w:hAnsi="Tahoma" w:cs="Tahoma"/>
          <w:sz w:val="20"/>
          <w:highlight w:val="yellow"/>
        </w:rPr>
      </w:pPr>
    </w:p>
    <w:p w:rsid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Con Resolución de Gerencia General Nº 073-2010-MDCH/GMl, publicado en el SEACE el 19 de mayo de 2010, se dispuso declarar Fundado el recurso impugnativo presentado por el Postor, otorgándosele la buena pro a la empresa Distribuidora Arcángel SAC, disponiendo la fiscalización posterior a través de la Gerencia de Administración.</w:t>
      </w:r>
    </w:p>
    <w:p w:rsidR="005116A1" w:rsidRPr="005116A1" w:rsidRDefault="005116A1" w:rsidP="005116A1">
      <w:pPr>
        <w:pStyle w:val="Prrafodelista"/>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 xml:space="preserve">A mérito de la fiscalización posterior,  mediante Oficio Nº 039-2010/MDCH la Entidad solicitó a la DIGESA que informe si a la fecha de presentación de propuestas (17 de febrero de 2010) los productos ofertados por el postor y elaborados por la empresa MOLINERA LOS ANGELES S.A, contaban con la autorización y habilitación necesaria para producir los bienes objeto del ítem Nº 2 del presente proceso de selección. </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Mediante Oficio Nº 1186-2010/DHAZ/DIGESA de fecha 24 de mayo de 2010, la DIGESA indicó que a la fecha de presentación de propuestas- 17 de febrero de 2010 - la referida empresa no contaba con la modificación porcentual para producir los productos referidos al ítem Nº 2.</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Con Resolución de Alcaldía Nº 188/2010-MDCH/A  de fecha 03 de junio de 2010, la Entidad dispuso declarar la Nulidad de oficio del Otorgamiento de la Buena pro del ítem Nº 2, por haberse transgredido el principio de presunción de veracidad.</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Con oficio Nº 019-2010-GA/MDCH de fecha 09 de septiembre de 2010, la Entidad comunicó a este colegiado los hechos antes expuestos, y adjuntó el siguiente Informe Nº 087-2010-GA/MDCH, suscrito por el Gerente de Administración de la Entidad, en los siguientes términos:</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6"/>
        </w:numPr>
        <w:suppressAutoHyphens w:val="0"/>
        <w:jc w:val="both"/>
        <w:rPr>
          <w:rFonts w:ascii="Tahoma" w:hAnsi="Tahoma" w:cs="Tahoma"/>
          <w:sz w:val="20"/>
        </w:rPr>
      </w:pPr>
      <w:r w:rsidRPr="00B67177">
        <w:rPr>
          <w:rFonts w:ascii="Tahoma" w:hAnsi="Tahoma" w:cs="Tahoma"/>
          <w:sz w:val="20"/>
        </w:rPr>
        <w:t>Revisado el expediente de contratación se ha podido verificar que a fojas 18 de la propuesta técnica del postor, obra la solicitud suscrita por el Sr. Eduardo Chang Ku, Gerente de la empresa Molinera los Ángeles dirigida a la DIGESA, mediante la cual se solicita la modificación porcentual del producto ofertado, con Registro de ingreso Nº 4384-05-R-006 de fecha 17 de febrero de 2010 a las 16:19 horas.</w:t>
      </w:r>
    </w:p>
    <w:p w:rsidR="00B67177" w:rsidRPr="00B67177" w:rsidRDefault="00B67177" w:rsidP="00B67177">
      <w:pPr>
        <w:pStyle w:val="Prrafodelista"/>
        <w:ind w:left="1174"/>
        <w:jc w:val="both"/>
        <w:rPr>
          <w:rFonts w:ascii="Tahoma" w:hAnsi="Tahoma" w:cs="Tahoma"/>
          <w:sz w:val="20"/>
        </w:rPr>
      </w:pPr>
    </w:p>
    <w:p w:rsidR="00B67177" w:rsidRPr="00B67177" w:rsidRDefault="00B67177" w:rsidP="00B67177">
      <w:pPr>
        <w:pStyle w:val="Prrafodelista"/>
        <w:widowControl/>
        <w:numPr>
          <w:ilvl w:val="0"/>
          <w:numId w:val="6"/>
        </w:numPr>
        <w:suppressAutoHyphens w:val="0"/>
        <w:jc w:val="both"/>
        <w:rPr>
          <w:rFonts w:ascii="Tahoma" w:hAnsi="Tahoma" w:cs="Tahoma"/>
          <w:sz w:val="20"/>
        </w:rPr>
      </w:pPr>
      <w:r w:rsidRPr="00B67177">
        <w:rPr>
          <w:rFonts w:ascii="Tahoma" w:hAnsi="Tahoma" w:cs="Tahoma"/>
          <w:sz w:val="20"/>
        </w:rPr>
        <w:t>A fojas 06 y 07 de la propuesta técnica del postor obra la Declaración Jurada de Cumplimiento de las especificaciones técnicas del producto ofertado “hojuelas de quinua avena fortificada con vitaminas y minerales”, presentada por el Gerente General de la empresa Distribuidora Arcangel, donde especifica el cumplimiento del componente porcentual solicitado en las bases. Asimismo, a fojas 25 de la referida propuesta obra la declaración de vida útil del producto.</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6"/>
        </w:numPr>
        <w:suppressAutoHyphens w:val="0"/>
        <w:jc w:val="both"/>
        <w:rPr>
          <w:rFonts w:ascii="Tahoma" w:hAnsi="Tahoma" w:cs="Tahoma"/>
          <w:sz w:val="20"/>
        </w:rPr>
      </w:pPr>
      <w:r w:rsidRPr="00B67177">
        <w:rPr>
          <w:rFonts w:ascii="Tahoma" w:hAnsi="Tahoma" w:cs="Tahoma"/>
          <w:sz w:val="20"/>
        </w:rPr>
        <w:lastRenderedPageBreak/>
        <w:t>Mediante resolución Directoral Nº 1061-2010*DHAZ/DIGESA de fecha 22 de marzo de 2010, la DIGESA resolvió denegar la solicitud de la empresa Molinera los Ángeles relacionado al cambio de formulación del producto QUINUA AVENA FORTIFICADA EN HOJUELAS PRECOCIDAS “DON LUCHO”.</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6"/>
        </w:numPr>
        <w:suppressAutoHyphens w:val="0"/>
        <w:jc w:val="both"/>
        <w:rPr>
          <w:rFonts w:ascii="Tahoma" w:hAnsi="Tahoma" w:cs="Tahoma"/>
          <w:sz w:val="20"/>
        </w:rPr>
      </w:pPr>
      <w:r w:rsidRPr="00B67177">
        <w:rPr>
          <w:rFonts w:ascii="Tahoma" w:hAnsi="Tahoma" w:cs="Tahoma"/>
          <w:sz w:val="20"/>
        </w:rPr>
        <w:t>De conformidad a los hechos expuestos, se puede evidenciar que los documentos indicado en el  literal b) se contradicen con la realidad, toda vez que no se puede declarar bajo juramento que se cumple con especificaciones técnicas cuando no se cuenta con la autorización para fabricar los productos requeridos en la bases. Asimismo, no se puede acreditar vida útil del producto. Si este no cuenta con la aceptación de DIGESA.</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6"/>
        </w:numPr>
        <w:suppressAutoHyphens w:val="0"/>
        <w:jc w:val="both"/>
        <w:rPr>
          <w:rFonts w:ascii="Tahoma" w:hAnsi="Tahoma" w:cs="Tahoma"/>
          <w:sz w:val="20"/>
        </w:rPr>
      </w:pPr>
      <w:r w:rsidRPr="00B67177">
        <w:rPr>
          <w:rFonts w:ascii="Tahoma" w:hAnsi="Tahoma" w:cs="Tahoma"/>
          <w:sz w:val="20"/>
        </w:rPr>
        <w:t>Por tal motivo, se declaró la nulidad del otorgamiento de la buena pro.</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ind w:left="454"/>
        <w:jc w:val="both"/>
        <w:rPr>
          <w:rFonts w:ascii="Tahoma" w:hAnsi="Tahoma" w:cs="Tahoma"/>
          <w:sz w:val="20"/>
        </w:rPr>
      </w:pPr>
      <w:r w:rsidRPr="00B67177">
        <w:rPr>
          <w:rFonts w:ascii="Tahoma" w:hAnsi="Tahoma" w:cs="Tahoma"/>
          <w:sz w:val="20"/>
        </w:rPr>
        <w:t>Asimismo, la Entidad remitió el Informe Legal Nº 203-10-GAJ/MDCH de fecha 13 de agosto de 2010, suscrito por el Gerente de Asesoría Jurídica de la Entidad, en los siguientes términos:</w:t>
      </w:r>
    </w:p>
    <w:p w:rsidR="00B67177" w:rsidRPr="00B67177" w:rsidRDefault="00B67177" w:rsidP="00B67177">
      <w:pPr>
        <w:pStyle w:val="Prrafodelista"/>
        <w:ind w:left="454"/>
        <w:jc w:val="both"/>
        <w:rPr>
          <w:rFonts w:ascii="Tahoma" w:hAnsi="Tahoma" w:cs="Tahoma"/>
          <w:sz w:val="20"/>
        </w:rPr>
      </w:pPr>
    </w:p>
    <w:p w:rsidR="00B67177" w:rsidRPr="00B67177" w:rsidRDefault="00B67177" w:rsidP="00B67177">
      <w:pPr>
        <w:pStyle w:val="Prrafodelista"/>
        <w:widowControl/>
        <w:numPr>
          <w:ilvl w:val="0"/>
          <w:numId w:val="7"/>
        </w:numPr>
        <w:suppressAutoHyphens w:val="0"/>
        <w:jc w:val="both"/>
        <w:rPr>
          <w:rFonts w:ascii="Tahoma" w:hAnsi="Tahoma" w:cs="Tahoma"/>
          <w:sz w:val="20"/>
        </w:rPr>
      </w:pPr>
      <w:r w:rsidRPr="00B67177">
        <w:rPr>
          <w:rFonts w:ascii="Tahoma" w:hAnsi="Tahoma" w:cs="Tahoma"/>
          <w:sz w:val="20"/>
        </w:rPr>
        <w:t>De la revisión a la propuesta técnica del postor, se puede evidenciar que presentó su Registros Sanitario Nº E56264N/NAMLLS – Certificado Nº 04956-2005, en el que se detalla claramente que la empresa Molinera los Ángeles S.A. cuenta con autorización de inscripción en el Registro sanitario de alimentos y bebidas de consumo humano de los productos QUINUA AVENA FORTIFICADA EN HOJUELAS PRECOCIDA DON LUCHO EN BOLSAS DE POLIETILENO DE 100 GR HASTA 50 KG HOJUELAS PRECOCIDAS, evidenciándose de manera clara que a la fecha de convocatoria no tenía autorización para el bien objeto del ítem Nº 2.</w:t>
      </w:r>
    </w:p>
    <w:p w:rsidR="00B67177" w:rsidRPr="00B67177" w:rsidRDefault="00B67177" w:rsidP="00B67177">
      <w:pPr>
        <w:pStyle w:val="Prrafodelista"/>
        <w:ind w:left="1174"/>
        <w:jc w:val="both"/>
        <w:rPr>
          <w:rFonts w:ascii="Tahoma" w:hAnsi="Tahoma" w:cs="Tahoma"/>
          <w:sz w:val="20"/>
        </w:rPr>
      </w:pPr>
    </w:p>
    <w:p w:rsidR="00B67177" w:rsidRPr="00B67177" w:rsidRDefault="00B67177" w:rsidP="00B67177">
      <w:pPr>
        <w:pStyle w:val="Prrafodelista"/>
        <w:widowControl/>
        <w:numPr>
          <w:ilvl w:val="0"/>
          <w:numId w:val="7"/>
        </w:numPr>
        <w:suppressAutoHyphens w:val="0"/>
        <w:jc w:val="both"/>
        <w:rPr>
          <w:rFonts w:ascii="Tahoma" w:hAnsi="Tahoma" w:cs="Tahoma"/>
          <w:sz w:val="20"/>
        </w:rPr>
      </w:pPr>
      <w:r w:rsidRPr="00B67177">
        <w:rPr>
          <w:rFonts w:ascii="Tahoma" w:hAnsi="Tahoma" w:cs="Tahoma"/>
          <w:sz w:val="20"/>
        </w:rPr>
        <w:t>En tal sentido, el Registro sanitario no sólo se contradecía con las declaraciones juradas presentas por el postor, sino que además , obra en la propuesta técnica la solicitud presentada por la empresa  Molinera Los Ángeles S.A.  a la DIGESA. El 17 de febrero de 2010, peticionando la modificación porcentual del producto, lo que permite concluir que a esa fecha no contaba con las autorizaciones respectivas.</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7"/>
        </w:numPr>
        <w:suppressAutoHyphens w:val="0"/>
        <w:jc w:val="both"/>
        <w:rPr>
          <w:rFonts w:ascii="Tahoma" w:hAnsi="Tahoma" w:cs="Tahoma"/>
          <w:sz w:val="20"/>
        </w:rPr>
      </w:pPr>
      <w:r w:rsidRPr="00B67177">
        <w:rPr>
          <w:rFonts w:ascii="Tahoma" w:hAnsi="Tahoma" w:cs="Tahoma"/>
          <w:sz w:val="20"/>
        </w:rPr>
        <w:t>De lo expuesto, se puede concluir que el Comité Especial tuvo conocimiento de las contradicciones existentes entre el registro sanitario y las declaraciones juradas por lo que se procedió a su descalificación, la cual debió haberse mantenido y no haberse realizado un procedimiento de fiscalización posterior, pues se podía advertir la incongruencia de documentos.</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7"/>
        </w:numPr>
        <w:suppressAutoHyphens w:val="0"/>
        <w:jc w:val="both"/>
        <w:rPr>
          <w:rFonts w:ascii="Tahoma" w:hAnsi="Tahoma" w:cs="Tahoma"/>
          <w:sz w:val="20"/>
        </w:rPr>
      </w:pPr>
      <w:r w:rsidRPr="00B67177">
        <w:rPr>
          <w:rFonts w:ascii="Tahoma" w:hAnsi="Tahoma" w:cs="Tahoma"/>
          <w:sz w:val="20"/>
        </w:rPr>
        <w:t xml:space="preserve">El Postor no ha transgredido el principio de presunción de veracidad, por cuanto no ha faltado a la vedad en la documentación presentada. </w:t>
      </w:r>
    </w:p>
    <w:p w:rsidR="00B67177" w:rsidRPr="00B67177" w:rsidRDefault="00B67177" w:rsidP="00B67177">
      <w:pPr>
        <w:pStyle w:val="Prrafodelista"/>
        <w:ind w:left="454"/>
        <w:jc w:val="both"/>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Con decreto de fecha 14 de septiembre de 2010, de manera previa al inicio del procedimiento administrativo sancionador, se requirió a la Entidad se sirva precisar los documentos supuestamente falsos y/o con información inexacta.</w:t>
      </w:r>
    </w:p>
    <w:p w:rsidR="00B67177" w:rsidRPr="00B67177" w:rsidRDefault="00B67177" w:rsidP="00B67177">
      <w:pPr>
        <w:pStyle w:val="Prrafodelista"/>
        <w:ind w:left="454"/>
        <w:jc w:val="both"/>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Mediante Carta Nº 105-2010-SGASG/GA/MDCH de fecha 17 de diciembre de 2010, la Entidad cumplió con lo solicitado.</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lastRenderedPageBreak/>
        <w:t>Con decreto de fecha 22 de diciembre de 2010,  se dispuso iniciar</w:t>
      </w:r>
      <w:r w:rsidRPr="00B67177">
        <w:rPr>
          <w:rFonts w:ascii="Tahoma" w:hAnsi="Tahoma" w:cs="Tahoma"/>
          <w:color w:val="000000"/>
          <w:sz w:val="20"/>
        </w:rPr>
        <w:t xml:space="preserve"> procedimiento administrativo sancionador contra la empresa </w:t>
      </w:r>
      <w:r w:rsidRPr="00B67177">
        <w:rPr>
          <w:rFonts w:ascii="Tahoma" w:hAnsi="Tahoma" w:cs="Tahoma"/>
          <w:b/>
          <w:bCs/>
          <w:color w:val="000000"/>
          <w:sz w:val="20"/>
        </w:rPr>
        <w:t>DISTRIBUIDORA ARCANGEL S.A.C.</w:t>
      </w:r>
      <w:r w:rsidRPr="00B67177">
        <w:rPr>
          <w:rFonts w:ascii="Tahoma" w:hAnsi="Tahoma" w:cs="Tahoma"/>
          <w:color w:val="000000"/>
          <w:sz w:val="20"/>
        </w:rPr>
        <w:t xml:space="preserve"> por supuesta responsabilidad en la presentación, como parte de su propuesta técnica, los documentos denominados </w:t>
      </w:r>
      <w:r w:rsidRPr="00B67177">
        <w:rPr>
          <w:rStyle w:val="nfasis"/>
          <w:rFonts w:ascii="Tahoma" w:eastAsia="Calibri" w:hAnsi="Tahoma" w:cs="Tahoma"/>
          <w:b/>
          <w:bCs/>
          <w:color w:val="000000"/>
          <w:sz w:val="20"/>
        </w:rPr>
        <w:t xml:space="preserve">DECLARACIÓN JURADA DE CUMPLIMIENTO DE LOS REQUERIMIENTOS TÉCNICOS MINIMOS </w:t>
      </w:r>
      <w:r w:rsidRPr="00B67177">
        <w:rPr>
          <w:rStyle w:val="nfasis"/>
          <w:rFonts w:ascii="Tahoma" w:eastAsia="Calibri" w:hAnsi="Tahoma" w:cs="Tahoma"/>
          <w:color w:val="000000"/>
          <w:sz w:val="20"/>
        </w:rPr>
        <w:t>DEL BIEN CONVOCADO de fecha 17.02.2010</w:t>
      </w:r>
      <w:r w:rsidRPr="00B67177">
        <w:rPr>
          <w:rStyle w:val="nfasis"/>
          <w:rFonts w:ascii="Tahoma" w:eastAsia="Calibri" w:hAnsi="Tahoma" w:cs="Tahoma"/>
          <w:b/>
          <w:bCs/>
          <w:color w:val="000000"/>
          <w:sz w:val="20"/>
        </w:rPr>
        <w:t xml:space="preserve">, DECLARACIÓN JURADA </w:t>
      </w:r>
      <w:r w:rsidRPr="00B67177">
        <w:rPr>
          <w:rStyle w:val="nfasis"/>
          <w:rFonts w:ascii="Tahoma" w:eastAsia="Calibri" w:hAnsi="Tahoma" w:cs="Tahoma"/>
          <w:color w:val="000000"/>
          <w:sz w:val="20"/>
        </w:rPr>
        <w:t>(ART. 42° DEL REGLAMENTO DE LA LEY DE CONTRATACIONES DEL ESTADO) de fecha 17.02.2010</w:t>
      </w:r>
      <w:r w:rsidRPr="00B67177">
        <w:rPr>
          <w:rStyle w:val="nfasis"/>
          <w:rFonts w:ascii="Tahoma" w:eastAsia="Calibri" w:hAnsi="Tahoma" w:cs="Tahoma"/>
          <w:b/>
          <w:bCs/>
          <w:color w:val="000000"/>
          <w:sz w:val="20"/>
        </w:rPr>
        <w:t xml:space="preserve">, DECLARACIÓN JURADA SOBRE PLAZO DE ENTREGA DE LOS BIENES </w:t>
      </w:r>
      <w:r w:rsidRPr="00B67177">
        <w:rPr>
          <w:rStyle w:val="nfasis"/>
          <w:rFonts w:ascii="Tahoma" w:eastAsia="Calibri" w:hAnsi="Tahoma" w:cs="Tahoma"/>
          <w:color w:val="000000"/>
          <w:sz w:val="20"/>
        </w:rPr>
        <w:t>de fecha 17.02.2010</w:t>
      </w:r>
      <w:r w:rsidRPr="00B67177">
        <w:rPr>
          <w:rStyle w:val="nfasis"/>
          <w:rFonts w:ascii="Tahoma" w:eastAsia="Calibri" w:hAnsi="Tahoma" w:cs="Tahoma"/>
          <w:b/>
          <w:bCs/>
          <w:color w:val="000000"/>
          <w:sz w:val="20"/>
        </w:rPr>
        <w:t xml:space="preserve">, DECLARACIÓN JURADA PORCENTAJE DE INSUMOS NACIONALES </w:t>
      </w:r>
      <w:r w:rsidRPr="00B67177">
        <w:rPr>
          <w:rStyle w:val="nfasis"/>
          <w:rFonts w:ascii="Tahoma" w:eastAsia="Calibri" w:hAnsi="Tahoma" w:cs="Tahoma"/>
          <w:color w:val="000000"/>
          <w:sz w:val="20"/>
        </w:rPr>
        <w:t>de fecha 17.02.2010</w:t>
      </w:r>
      <w:r w:rsidRPr="00B67177">
        <w:rPr>
          <w:rStyle w:val="nfasis"/>
          <w:rFonts w:ascii="Tahoma" w:eastAsia="Calibri" w:hAnsi="Tahoma" w:cs="Tahoma"/>
          <w:b/>
          <w:bCs/>
          <w:color w:val="000000"/>
          <w:sz w:val="20"/>
        </w:rPr>
        <w:t xml:space="preserve"> </w:t>
      </w:r>
      <w:r w:rsidRPr="00B67177">
        <w:rPr>
          <w:rStyle w:val="nfasis"/>
          <w:rFonts w:ascii="Tahoma" w:eastAsia="Calibri" w:hAnsi="Tahoma" w:cs="Tahoma"/>
          <w:color w:val="000000"/>
          <w:sz w:val="20"/>
        </w:rPr>
        <w:t>y</w:t>
      </w:r>
      <w:r w:rsidRPr="00B67177">
        <w:rPr>
          <w:rStyle w:val="nfasis"/>
          <w:rFonts w:ascii="Tahoma" w:eastAsia="Calibri" w:hAnsi="Tahoma" w:cs="Tahoma"/>
          <w:b/>
          <w:bCs/>
          <w:color w:val="000000"/>
          <w:sz w:val="20"/>
        </w:rPr>
        <w:t xml:space="preserve"> DECLARACIÓN JURADA DE DISPONIBILIDAD DE STOCK</w:t>
      </w:r>
      <w:r w:rsidRPr="00B67177">
        <w:rPr>
          <w:rFonts w:ascii="Tahoma" w:hAnsi="Tahoma" w:cs="Tahoma"/>
          <w:b/>
          <w:bCs/>
          <w:color w:val="000000"/>
          <w:sz w:val="20"/>
        </w:rPr>
        <w:t xml:space="preserve"> </w:t>
      </w:r>
      <w:r w:rsidRPr="00B67177">
        <w:rPr>
          <w:rFonts w:ascii="Tahoma" w:hAnsi="Tahoma" w:cs="Tahoma"/>
          <w:color w:val="000000"/>
          <w:sz w:val="20"/>
        </w:rPr>
        <w:t xml:space="preserve">documentos supuestamente falsos o inexactos presentados en el Proceso de Selección </w:t>
      </w:r>
      <w:r w:rsidRPr="00B67177">
        <w:rPr>
          <w:rFonts w:ascii="Tahoma" w:hAnsi="Tahoma" w:cs="Tahoma"/>
          <w:b/>
          <w:bCs/>
          <w:color w:val="000000"/>
          <w:sz w:val="20"/>
        </w:rPr>
        <w:t xml:space="preserve">Licitación Pública Nº 001-2009/CE/LP/PVL/MDCH - Ítem II, </w:t>
      </w:r>
      <w:r w:rsidRPr="00B67177">
        <w:rPr>
          <w:rFonts w:ascii="Tahoma" w:hAnsi="Tahoma" w:cs="Tahoma"/>
          <w:color w:val="000000"/>
          <w:sz w:val="20"/>
        </w:rPr>
        <w:t xml:space="preserve">proceso convocado por la </w:t>
      </w:r>
      <w:r w:rsidRPr="00B67177">
        <w:rPr>
          <w:rFonts w:ascii="Tahoma" w:hAnsi="Tahoma" w:cs="Tahoma"/>
          <w:b/>
          <w:bCs/>
          <w:color w:val="000000"/>
          <w:sz w:val="20"/>
        </w:rPr>
        <w:t>MUNICIPALIDAD DISTRITAL DE CHILCA – HUANCAYO. Se le concedió al Postor el plazo de</w:t>
      </w:r>
      <w:r w:rsidRPr="00B67177">
        <w:rPr>
          <w:rFonts w:ascii="Tahoma" w:hAnsi="Tahoma" w:cs="Tahoma"/>
          <w:color w:val="000000"/>
          <w:sz w:val="20"/>
        </w:rPr>
        <w:t xml:space="preserve"> </w:t>
      </w:r>
      <w:r w:rsidRPr="00B67177">
        <w:rPr>
          <w:rFonts w:ascii="Tahoma" w:hAnsi="Tahoma" w:cs="Tahoma"/>
          <w:b/>
          <w:bCs/>
          <w:color w:val="000000"/>
          <w:sz w:val="20"/>
        </w:rPr>
        <w:t>10</w:t>
      </w:r>
      <w:r w:rsidRPr="00B67177">
        <w:rPr>
          <w:rFonts w:ascii="Tahoma" w:hAnsi="Tahoma" w:cs="Tahoma"/>
          <w:color w:val="000000"/>
          <w:sz w:val="20"/>
        </w:rPr>
        <w:t xml:space="preserve"> </w:t>
      </w:r>
      <w:r w:rsidRPr="00B67177">
        <w:rPr>
          <w:rFonts w:ascii="Tahoma" w:hAnsi="Tahoma" w:cs="Tahoma"/>
          <w:b/>
          <w:bCs/>
          <w:color w:val="000000"/>
          <w:sz w:val="20"/>
        </w:rPr>
        <w:t>(diez) días hábiles para que presente sus descargos</w:t>
      </w:r>
      <w:r w:rsidRPr="00B67177">
        <w:rPr>
          <w:rFonts w:ascii="Tahoma" w:hAnsi="Tahoma" w:cs="Tahoma"/>
          <w:color w:val="000000"/>
          <w:sz w:val="20"/>
        </w:rPr>
        <w:t>, bajo apercibimiento de resolver el procedimiento con la documentación obrante en el expediente.</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Con escritos de fechas 22 y 24 de febrero de 2011, el Postor presentó sus descargos en los siguientes términos:</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8"/>
        </w:numPr>
        <w:suppressAutoHyphens w:val="0"/>
        <w:jc w:val="both"/>
        <w:rPr>
          <w:rStyle w:val="nfasis"/>
          <w:rFonts w:ascii="Tahoma" w:eastAsia="Calibri" w:hAnsi="Tahoma" w:cs="Tahoma"/>
          <w:sz w:val="20"/>
        </w:rPr>
      </w:pPr>
      <w:r w:rsidRPr="00B67177">
        <w:rPr>
          <w:rFonts w:ascii="Tahoma" w:hAnsi="Tahoma" w:cs="Tahoma"/>
          <w:sz w:val="20"/>
        </w:rPr>
        <w:t>Respecto a la</w:t>
      </w:r>
      <w:r w:rsidRPr="00B67177">
        <w:rPr>
          <w:rFonts w:ascii="Tahoma" w:hAnsi="Tahoma" w:cs="Tahoma"/>
          <w:i/>
          <w:iCs/>
          <w:sz w:val="20"/>
        </w:rPr>
        <w:t xml:space="preserve"> </w:t>
      </w:r>
      <w:r w:rsidRPr="00B67177">
        <w:rPr>
          <w:rStyle w:val="nfasis"/>
          <w:rFonts w:ascii="Tahoma" w:eastAsia="Calibri" w:hAnsi="Tahoma" w:cs="Tahoma"/>
          <w:color w:val="000000"/>
          <w:sz w:val="20"/>
        </w:rPr>
        <w:t>DECLARACIÓN JURADA DE CUMPLIMIENTO DE LOS REQUERIMIENTOS TÉCNICOS MINIMOS, con dicho documento se buscaba indicar a la Entidad que el Postor se comprometía a abastecer el producto requerido en base a los requerimientos técnicos mínimos. No afirmar que contaba con ellos en dicha oportunidad.</w:t>
      </w:r>
    </w:p>
    <w:p w:rsidR="00B67177" w:rsidRPr="00B67177" w:rsidRDefault="00B67177" w:rsidP="00B67177">
      <w:pPr>
        <w:pStyle w:val="Prrafodelista"/>
        <w:ind w:left="1174"/>
        <w:jc w:val="both"/>
        <w:rPr>
          <w:rStyle w:val="nfasis"/>
          <w:rFonts w:ascii="Tahoma" w:eastAsia="Calibri" w:hAnsi="Tahoma" w:cs="Tahoma"/>
          <w:sz w:val="20"/>
        </w:rPr>
      </w:pPr>
    </w:p>
    <w:p w:rsidR="00B67177" w:rsidRPr="00B67177" w:rsidRDefault="00B67177" w:rsidP="00B67177">
      <w:pPr>
        <w:pStyle w:val="Prrafodelista"/>
        <w:widowControl/>
        <w:numPr>
          <w:ilvl w:val="0"/>
          <w:numId w:val="8"/>
        </w:numPr>
        <w:suppressAutoHyphens w:val="0"/>
        <w:jc w:val="both"/>
        <w:rPr>
          <w:rStyle w:val="nfasis"/>
          <w:rFonts w:ascii="Tahoma" w:eastAsia="Calibri" w:hAnsi="Tahoma" w:cs="Tahoma"/>
          <w:sz w:val="20"/>
        </w:rPr>
      </w:pPr>
      <w:r w:rsidRPr="00B67177">
        <w:rPr>
          <w:rStyle w:val="nfasis"/>
          <w:rFonts w:ascii="Tahoma" w:eastAsia="Calibri" w:hAnsi="Tahoma" w:cs="Tahoma"/>
          <w:color w:val="000000"/>
          <w:sz w:val="20"/>
        </w:rPr>
        <w:t>En relación a la DECLARACIÓN JURADA (ART. 42° DEL REGLAMENTO DE LA LEY DE CONTRATACIONES DEL ESTADO) de fecha 17.02.2010, con dicho formato solo se estableció que cada postor es responsable de los documentos e información que se presenta, por lo cual es imposible que esta sea falsa o inexacta.</w:t>
      </w:r>
    </w:p>
    <w:p w:rsidR="00B67177" w:rsidRPr="00B67177" w:rsidRDefault="00B67177" w:rsidP="00B67177">
      <w:pPr>
        <w:pStyle w:val="Prrafodelista"/>
        <w:rPr>
          <w:rFonts w:ascii="Tahoma" w:hAnsi="Tahoma" w:cs="Tahoma"/>
          <w:i/>
          <w:iCs/>
          <w:sz w:val="20"/>
        </w:rPr>
      </w:pPr>
    </w:p>
    <w:p w:rsidR="00B67177" w:rsidRPr="00B67177" w:rsidRDefault="00B67177" w:rsidP="00B67177">
      <w:pPr>
        <w:pStyle w:val="Prrafodelista"/>
        <w:widowControl/>
        <w:numPr>
          <w:ilvl w:val="0"/>
          <w:numId w:val="8"/>
        </w:numPr>
        <w:suppressAutoHyphens w:val="0"/>
        <w:jc w:val="both"/>
        <w:rPr>
          <w:rStyle w:val="nfasis"/>
          <w:rFonts w:ascii="Tahoma" w:eastAsia="Calibri" w:hAnsi="Tahoma" w:cs="Tahoma"/>
          <w:sz w:val="20"/>
        </w:rPr>
      </w:pPr>
      <w:r w:rsidRPr="00B67177">
        <w:rPr>
          <w:rStyle w:val="nfasis"/>
          <w:rFonts w:ascii="Tahoma" w:eastAsia="Calibri" w:hAnsi="Tahoma" w:cs="Tahoma"/>
          <w:color w:val="000000"/>
          <w:sz w:val="20"/>
        </w:rPr>
        <w:t>En cuanto a la DECLARACIÓN JURADA SOBRE PLAZO DE ENTREGA DE LOS BIENES, debe señalarse que mediante este formato se busca establecer que los productos deberán ser entregados  a la Entidad del plazo previsto.</w:t>
      </w:r>
    </w:p>
    <w:p w:rsidR="00B67177" w:rsidRPr="00B67177" w:rsidRDefault="00B67177" w:rsidP="00B67177">
      <w:pPr>
        <w:pStyle w:val="Prrafodelista"/>
        <w:rPr>
          <w:rFonts w:ascii="Tahoma" w:hAnsi="Tahoma" w:cs="Tahoma"/>
          <w:i/>
          <w:iCs/>
          <w:sz w:val="20"/>
        </w:rPr>
      </w:pPr>
    </w:p>
    <w:p w:rsidR="00B67177" w:rsidRPr="00B67177" w:rsidRDefault="00B67177" w:rsidP="00B67177">
      <w:pPr>
        <w:pStyle w:val="Prrafodelista"/>
        <w:widowControl/>
        <w:numPr>
          <w:ilvl w:val="0"/>
          <w:numId w:val="8"/>
        </w:numPr>
        <w:suppressAutoHyphens w:val="0"/>
        <w:jc w:val="both"/>
        <w:rPr>
          <w:rStyle w:val="nfasis"/>
          <w:rFonts w:ascii="Tahoma" w:eastAsia="Calibri" w:hAnsi="Tahoma" w:cs="Tahoma"/>
          <w:sz w:val="20"/>
        </w:rPr>
      </w:pPr>
      <w:r w:rsidRPr="00B67177">
        <w:rPr>
          <w:rFonts w:ascii="Tahoma" w:hAnsi="Tahoma" w:cs="Tahoma"/>
          <w:sz w:val="20"/>
        </w:rPr>
        <w:t>Respecto a</w:t>
      </w:r>
      <w:r w:rsidRPr="00B67177">
        <w:rPr>
          <w:rFonts w:ascii="Tahoma" w:hAnsi="Tahoma" w:cs="Tahoma"/>
          <w:i/>
          <w:iCs/>
          <w:sz w:val="20"/>
        </w:rPr>
        <w:t xml:space="preserve"> </w:t>
      </w:r>
      <w:r w:rsidRPr="00B67177">
        <w:rPr>
          <w:rStyle w:val="nfasis"/>
          <w:rFonts w:ascii="Tahoma" w:eastAsia="Calibri" w:hAnsi="Tahoma" w:cs="Tahoma"/>
          <w:color w:val="000000"/>
          <w:sz w:val="20"/>
        </w:rPr>
        <w:t>DECLARACIÓN JURADA PORCENTAJE DE INSUMOS NACIONALES, se indica que dicha aseveración se fundamenta en la comunicación de fecha 16 de febrero de 2010, remitida por el productor Molinera los Ángeles  a la DIGESA, en la cual se le indicó la variación de los porcentajes de insumos en la elaboración del producto.</w:t>
      </w:r>
    </w:p>
    <w:p w:rsidR="00B67177" w:rsidRPr="00B67177" w:rsidRDefault="00B67177" w:rsidP="00B67177">
      <w:pPr>
        <w:pStyle w:val="Prrafodelista"/>
        <w:rPr>
          <w:rFonts w:ascii="Tahoma" w:hAnsi="Tahoma" w:cs="Tahoma"/>
          <w:i/>
          <w:iCs/>
          <w:sz w:val="20"/>
        </w:rPr>
      </w:pPr>
    </w:p>
    <w:p w:rsidR="00B67177" w:rsidRPr="00B67177" w:rsidRDefault="00B67177" w:rsidP="00B67177">
      <w:pPr>
        <w:pStyle w:val="Prrafodelista"/>
        <w:widowControl/>
        <w:numPr>
          <w:ilvl w:val="0"/>
          <w:numId w:val="8"/>
        </w:numPr>
        <w:suppressAutoHyphens w:val="0"/>
        <w:jc w:val="both"/>
        <w:rPr>
          <w:rStyle w:val="nfasis"/>
          <w:rFonts w:ascii="Tahoma" w:eastAsia="Calibri" w:hAnsi="Tahoma" w:cs="Tahoma"/>
          <w:sz w:val="20"/>
        </w:rPr>
      </w:pPr>
      <w:r w:rsidRPr="00B67177">
        <w:rPr>
          <w:rStyle w:val="nfasis"/>
          <w:rFonts w:ascii="Tahoma" w:eastAsia="Calibri" w:hAnsi="Tahoma" w:cs="Tahoma"/>
          <w:color w:val="000000"/>
          <w:sz w:val="20"/>
        </w:rPr>
        <w:t>En lo relacionado a la DECLARACIÓN JURADA DE DISPONIBILIDAD DE STOCK, el Postor no podía comprobar que el fabricante cumplía con los requisitos solicitados, ya que bastaba la declaración de este mediante una carta de compromiso.</w:t>
      </w:r>
    </w:p>
    <w:p w:rsidR="00B67177" w:rsidRPr="00B67177" w:rsidRDefault="00B67177" w:rsidP="00B67177">
      <w:pPr>
        <w:pStyle w:val="Prrafodelista"/>
        <w:rPr>
          <w:rFonts w:ascii="Tahoma" w:hAnsi="Tahoma" w:cs="Tahoma"/>
          <w:i/>
          <w:iCs/>
          <w:sz w:val="20"/>
        </w:rPr>
      </w:pPr>
    </w:p>
    <w:p w:rsidR="00B67177" w:rsidRPr="00B67177" w:rsidRDefault="00B67177" w:rsidP="00B67177">
      <w:pPr>
        <w:pStyle w:val="Prrafodelista"/>
        <w:widowControl/>
        <w:numPr>
          <w:ilvl w:val="0"/>
          <w:numId w:val="8"/>
        </w:numPr>
        <w:suppressAutoHyphens w:val="0"/>
        <w:jc w:val="both"/>
        <w:rPr>
          <w:rFonts w:ascii="Tahoma" w:hAnsi="Tahoma" w:cs="Tahoma"/>
          <w:sz w:val="20"/>
        </w:rPr>
      </w:pPr>
      <w:r w:rsidRPr="00B67177">
        <w:rPr>
          <w:rFonts w:ascii="Tahoma" w:hAnsi="Tahoma" w:cs="Tahoma"/>
          <w:sz w:val="20"/>
        </w:rPr>
        <w:t>No se ha tratado de sorprender ni engañar al Comité Especial, pues no ha e presentado información inexacta sino un documento de un trámite en proceso.</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8"/>
        </w:numPr>
        <w:suppressAutoHyphens w:val="0"/>
        <w:jc w:val="both"/>
        <w:rPr>
          <w:rFonts w:ascii="Tahoma" w:hAnsi="Tahoma" w:cs="Tahoma"/>
          <w:sz w:val="20"/>
        </w:rPr>
      </w:pPr>
      <w:r w:rsidRPr="00B67177">
        <w:rPr>
          <w:rFonts w:ascii="Tahoma" w:hAnsi="Tahoma" w:cs="Tahoma"/>
          <w:sz w:val="20"/>
        </w:rPr>
        <w:lastRenderedPageBreak/>
        <w:t>La conducta denunciada debe ser considerada como una incongruencia en la propuesta, que debió ser detectada por el Comité al momento de la evaluación.</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8"/>
        </w:numPr>
        <w:suppressAutoHyphens w:val="0"/>
        <w:jc w:val="both"/>
        <w:rPr>
          <w:rFonts w:ascii="Tahoma" w:hAnsi="Tahoma" w:cs="Tahoma"/>
          <w:sz w:val="20"/>
        </w:rPr>
      </w:pPr>
      <w:r w:rsidRPr="00B67177">
        <w:rPr>
          <w:rFonts w:ascii="Tahoma" w:hAnsi="Tahoma" w:cs="Tahoma"/>
          <w:sz w:val="20"/>
        </w:rPr>
        <w:t>Solicitó el uso de la palabra.</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Con decreto de fecha 01 de marzo de 2011 se remitió el expediente a la Primera Sala del Tribunal para que resuelva.</w:t>
      </w:r>
    </w:p>
    <w:p w:rsidR="00B67177" w:rsidRPr="00B67177" w:rsidRDefault="00B67177" w:rsidP="00B67177">
      <w:pPr>
        <w:pStyle w:val="Prrafodelista"/>
        <w:ind w:left="454"/>
        <w:jc w:val="both"/>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Mediante decreto de fecha 11 de marzo de 2011, se convocó a la diligencia de audiencia pública para el día 17 de marzo de 2011. En dicha diligencia participó el representante del Postor.</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5"/>
        </w:numPr>
        <w:suppressAutoHyphens w:val="0"/>
        <w:jc w:val="both"/>
        <w:rPr>
          <w:rFonts w:ascii="Tahoma" w:hAnsi="Tahoma" w:cs="Tahoma"/>
          <w:sz w:val="20"/>
        </w:rPr>
      </w:pPr>
      <w:r w:rsidRPr="00B67177">
        <w:rPr>
          <w:rFonts w:ascii="Tahoma" w:hAnsi="Tahoma" w:cs="Tahoma"/>
          <w:sz w:val="20"/>
        </w:rPr>
        <w:t>Con escrito de fecha 18 de marzo de 2011 el Contratista indicó lo siguiente:</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9"/>
        </w:numPr>
        <w:suppressAutoHyphens w:val="0"/>
        <w:jc w:val="both"/>
        <w:rPr>
          <w:rFonts w:ascii="Tahoma" w:hAnsi="Tahoma" w:cs="Tahoma"/>
          <w:sz w:val="20"/>
        </w:rPr>
      </w:pPr>
      <w:r w:rsidRPr="00B67177">
        <w:rPr>
          <w:rFonts w:ascii="Tahoma" w:hAnsi="Tahoma" w:cs="Tahoma"/>
          <w:sz w:val="20"/>
        </w:rPr>
        <w:t xml:space="preserve">No se intentó sorprender al Comité Especial. </w:t>
      </w:r>
    </w:p>
    <w:p w:rsidR="00B67177" w:rsidRPr="00B67177" w:rsidRDefault="00B67177" w:rsidP="00B67177">
      <w:pPr>
        <w:pStyle w:val="Prrafodelista"/>
        <w:ind w:left="1174"/>
        <w:jc w:val="both"/>
        <w:rPr>
          <w:rFonts w:ascii="Tahoma" w:hAnsi="Tahoma" w:cs="Tahoma"/>
          <w:sz w:val="20"/>
        </w:rPr>
      </w:pPr>
    </w:p>
    <w:p w:rsidR="00B67177" w:rsidRPr="00B67177" w:rsidRDefault="00B67177" w:rsidP="00B67177">
      <w:pPr>
        <w:pStyle w:val="Prrafodelista"/>
        <w:widowControl/>
        <w:numPr>
          <w:ilvl w:val="0"/>
          <w:numId w:val="9"/>
        </w:numPr>
        <w:suppressAutoHyphens w:val="0"/>
        <w:jc w:val="both"/>
        <w:rPr>
          <w:rFonts w:ascii="Tahoma" w:hAnsi="Tahoma" w:cs="Tahoma"/>
          <w:sz w:val="20"/>
        </w:rPr>
      </w:pPr>
      <w:r w:rsidRPr="00B67177">
        <w:rPr>
          <w:rFonts w:ascii="Tahoma" w:hAnsi="Tahoma" w:cs="Tahoma"/>
          <w:sz w:val="20"/>
        </w:rPr>
        <w:t>No se presentó una anotación falsa o inexacta, sino un documento de un trámite en proceso, por el cual debía considerarse como tal.</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9"/>
        </w:numPr>
        <w:suppressAutoHyphens w:val="0"/>
        <w:jc w:val="both"/>
        <w:rPr>
          <w:rFonts w:ascii="Tahoma" w:hAnsi="Tahoma" w:cs="Tahoma"/>
          <w:sz w:val="20"/>
        </w:rPr>
      </w:pPr>
      <w:r w:rsidRPr="00B67177">
        <w:rPr>
          <w:rFonts w:ascii="Tahoma" w:hAnsi="Tahoma" w:cs="Tahoma"/>
          <w:sz w:val="20"/>
        </w:rPr>
        <w:t>El fabricante cumplía con los estándares cualitativos solicitados, prueba de ello es el anexo 3 de las bases, el certificado físico químico y el certificado de micronutrientes que se presentó al proceso, señalado de esta forma que si se cumplía con los RTM.</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9"/>
        </w:numPr>
        <w:suppressAutoHyphens w:val="0"/>
        <w:jc w:val="both"/>
        <w:rPr>
          <w:rFonts w:ascii="Tahoma" w:hAnsi="Tahoma" w:cs="Tahoma"/>
          <w:sz w:val="20"/>
        </w:rPr>
      </w:pPr>
      <w:r w:rsidRPr="00B67177">
        <w:rPr>
          <w:rFonts w:ascii="Tahoma" w:hAnsi="Tahoma" w:cs="Tahoma"/>
          <w:sz w:val="20"/>
        </w:rPr>
        <w:t>En relación al requerimiento cuantitativo, debe indicarse que si se puede asumir responsabilidad por falta de diligencia. Se interpretó que las Bases contemplaba la posibilidad de presentar la declaración jurada  de trámite de la modificación porcentual presentada a la DIGESA. De igual forma, el Registro Sanitario, que se otorgó al fabricante establece en su literal d) las obligaciones de comunicación sobre cualquier variación que sufra el producto.</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9"/>
        </w:numPr>
        <w:suppressAutoHyphens w:val="0"/>
        <w:jc w:val="both"/>
        <w:rPr>
          <w:rFonts w:ascii="Tahoma" w:hAnsi="Tahoma" w:cs="Tahoma"/>
          <w:sz w:val="20"/>
        </w:rPr>
      </w:pPr>
      <w:r w:rsidRPr="00B67177">
        <w:rPr>
          <w:rFonts w:ascii="Tahoma" w:hAnsi="Tahoma" w:cs="Tahoma"/>
          <w:sz w:val="20"/>
        </w:rPr>
        <w:t>Se acepta la falta de diligencia, pero esta no fue realizada como un acto de engaño, sino por una incorrecta interpretación de lo permitido por las Bases.</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9"/>
        </w:numPr>
        <w:suppressAutoHyphens w:val="0"/>
        <w:jc w:val="both"/>
        <w:rPr>
          <w:rFonts w:ascii="Tahoma" w:hAnsi="Tahoma" w:cs="Tahoma"/>
          <w:sz w:val="20"/>
        </w:rPr>
      </w:pPr>
      <w:r w:rsidRPr="00B67177">
        <w:rPr>
          <w:rFonts w:ascii="Tahoma" w:hAnsi="Tahoma" w:cs="Tahoma"/>
          <w:sz w:val="20"/>
        </w:rPr>
        <w:t>Respecto a la sanción impuesta mediante Resolución Nº 1642-2010-TC-S2, debe indicarse que se ha presentado una demanda contra la misma y se está tramitando una medida cautelar, por considerar que fue injustamente sancionado.</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9"/>
        </w:numPr>
        <w:suppressAutoHyphens w:val="0"/>
        <w:jc w:val="both"/>
        <w:rPr>
          <w:rFonts w:ascii="Tahoma" w:hAnsi="Tahoma" w:cs="Tahoma"/>
          <w:sz w:val="20"/>
        </w:rPr>
      </w:pPr>
      <w:r w:rsidRPr="00B67177">
        <w:rPr>
          <w:rFonts w:ascii="Tahoma" w:hAnsi="Tahoma" w:cs="Tahoma"/>
          <w:sz w:val="20"/>
        </w:rPr>
        <w:t>La conducta realizada por el Postor califica como incongruencia en la propuesta, y no a información inexacta.</w:t>
      </w:r>
    </w:p>
    <w:p w:rsidR="00B67177" w:rsidRPr="00B67177" w:rsidRDefault="00B67177" w:rsidP="00B67177">
      <w:pPr>
        <w:pStyle w:val="Prrafodelista"/>
        <w:rPr>
          <w:rFonts w:ascii="Tahoma" w:hAnsi="Tahoma" w:cs="Tahoma"/>
          <w:sz w:val="20"/>
        </w:rPr>
      </w:pPr>
    </w:p>
    <w:p w:rsidR="00B67177" w:rsidRPr="00B67177" w:rsidRDefault="00B67177" w:rsidP="00B67177">
      <w:pPr>
        <w:pStyle w:val="Prrafodelista"/>
        <w:widowControl/>
        <w:numPr>
          <w:ilvl w:val="0"/>
          <w:numId w:val="9"/>
        </w:numPr>
        <w:suppressAutoHyphens w:val="0"/>
        <w:jc w:val="both"/>
        <w:rPr>
          <w:rFonts w:ascii="Tahoma" w:hAnsi="Tahoma" w:cs="Tahoma"/>
          <w:sz w:val="20"/>
        </w:rPr>
      </w:pPr>
      <w:r w:rsidRPr="00B67177">
        <w:rPr>
          <w:rFonts w:ascii="Tahoma" w:hAnsi="Tahoma" w:cs="Tahoma"/>
          <w:sz w:val="20"/>
        </w:rPr>
        <w:t>Por lo antes expuesto se solicita eximirle de responsabilidad administrativa.</w:t>
      </w:r>
    </w:p>
    <w:p w:rsidR="00B67177" w:rsidRPr="00B67177" w:rsidRDefault="00B67177" w:rsidP="00B67177">
      <w:pPr>
        <w:pStyle w:val="Prrafodelista"/>
        <w:ind w:left="567"/>
        <w:jc w:val="both"/>
        <w:rPr>
          <w:rFonts w:ascii="Tahoma" w:hAnsi="Tahoma" w:cs="Tahoma"/>
          <w:sz w:val="20"/>
          <w:lang w:val="es-ES"/>
        </w:rPr>
      </w:pPr>
    </w:p>
    <w:p w:rsidR="00B67177" w:rsidRPr="00B67177" w:rsidRDefault="00B67177" w:rsidP="00B67177">
      <w:pPr>
        <w:pStyle w:val="Prrafodelista"/>
        <w:ind w:left="567"/>
        <w:jc w:val="both"/>
        <w:rPr>
          <w:rFonts w:ascii="Tahoma" w:hAnsi="Tahoma" w:cs="Tahoma"/>
          <w:sz w:val="20"/>
          <w:lang w:val="es-ES"/>
        </w:rPr>
      </w:pPr>
    </w:p>
    <w:p w:rsidR="00B67177" w:rsidRPr="00B67177" w:rsidRDefault="00B67177" w:rsidP="00B67177">
      <w:pPr>
        <w:tabs>
          <w:tab w:val="num" w:pos="9720"/>
        </w:tabs>
        <w:spacing w:after="0" w:line="240" w:lineRule="auto"/>
        <w:jc w:val="both"/>
        <w:rPr>
          <w:rFonts w:ascii="Tahoma" w:hAnsi="Tahoma" w:cs="Tahoma"/>
          <w:b/>
          <w:sz w:val="20"/>
          <w:szCs w:val="20"/>
        </w:rPr>
      </w:pPr>
      <w:r w:rsidRPr="00B67177">
        <w:rPr>
          <w:rFonts w:ascii="Tahoma" w:hAnsi="Tahoma" w:cs="Tahoma"/>
          <w:b/>
          <w:sz w:val="20"/>
          <w:szCs w:val="20"/>
        </w:rPr>
        <w:t>FUNDAMENTACIÓN:</w:t>
      </w:r>
    </w:p>
    <w:p w:rsidR="00B67177" w:rsidRDefault="00B67177" w:rsidP="00B67177">
      <w:pPr>
        <w:spacing w:after="0" w:line="240" w:lineRule="auto"/>
        <w:ind w:left="720"/>
        <w:jc w:val="both"/>
        <w:rPr>
          <w:rFonts w:ascii="Tahoma" w:hAnsi="Tahoma" w:cs="Tahoma"/>
          <w:sz w:val="20"/>
          <w:szCs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El presente procedimiento sancionador ha sido iniciado para determinar si la empresa DISTRIBUIDORA ARCANGEL S.A.C. ha incurrido en responsabilidad administrativa por la supuesta presentación de documentos falsos o </w:t>
      </w:r>
      <w:r w:rsidRPr="00B67177">
        <w:rPr>
          <w:rFonts w:ascii="Tahoma" w:hAnsi="Tahoma" w:cs="Tahoma"/>
          <w:sz w:val="20"/>
          <w:szCs w:val="20"/>
          <w:u w:val="single"/>
        </w:rPr>
        <w:t>inexactos</w:t>
      </w:r>
      <w:r w:rsidRPr="00B67177">
        <w:rPr>
          <w:rFonts w:ascii="Tahoma" w:hAnsi="Tahoma" w:cs="Tahoma"/>
          <w:sz w:val="20"/>
          <w:szCs w:val="20"/>
        </w:rPr>
        <w:t xml:space="preserve"> durante la Licitación Pública N° 001-2009/CE/LP/PVL/MDCH; infracción tipificada en </w:t>
      </w:r>
      <w:r w:rsidRPr="00B67177">
        <w:rPr>
          <w:rFonts w:ascii="Tahoma" w:hAnsi="Tahoma" w:cs="Tahoma"/>
          <w:sz w:val="20"/>
          <w:szCs w:val="20"/>
        </w:rPr>
        <w:lastRenderedPageBreak/>
        <w:t>el literal i) del numeral 51.1 del artículo 51 de la Ley de Contrataciones del Estado</w:t>
      </w:r>
      <w:r w:rsidRPr="00B67177">
        <w:rPr>
          <w:rFonts w:ascii="Tahoma" w:hAnsi="Tahoma" w:cs="Tahoma"/>
          <w:sz w:val="20"/>
          <w:szCs w:val="20"/>
          <w:vertAlign w:val="superscript"/>
        </w:rPr>
        <w:footnoteReference w:id="2"/>
      </w:r>
      <w:r w:rsidRPr="00B67177">
        <w:rPr>
          <w:rFonts w:ascii="Tahoma" w:hAnsi="Tahoma" w:cs="Tahoma"/>
          <w:sz w:val="20"/>
          <w:szCs w:val="20"/>
        </w:rPr>
        <w:t>, en adelante la Ley, concordante con el literal i) del numeral 1 del artículo 237 de su Reglamento</w:t>
      </w:r>
      <w:r w:rsidRPr="00B67177">
        <w:rPr>
          <w:rFonts w:ascii="Tahoma" w:hAnsi="Tahoma" w:cs="Tahoma"/>
          <w:sz w:val="20"/>
          <w:szCs w:val="20"/>
          <w:vertAlign w:val="superscript"/>
        </w:rPr>
        <w:footnoteReference w:id="3"/>
      </w:r>
      <w:r w:rsidRPr="00B67177">
        <w:rPr>
          <w:rFonts w:ascii="Tahoma" w:hAnsi="Tahoma" w:cs="Tahoma"/>
          <w:sz w:val="20"/>
          <w:szCs w:val="20"/>
        </w:rPr>
        <w:t>, normas vigentes al suscitarse los hechos.</w:t>
      </w:r>
    </w:p>
    <w:p w:rsidR="00B67177" w:rsidRDefault="00B67177" w:rsidP="00B67177">
      <w:pPr>
        <w:spacing w:line="240" w:lineRule="auto"/>
        <w:ind w:left="720"/>
        <w:rPr>
          <w:rFonts w:ascii="Tahoma" w:hAnsi="Tahoma" w:cs="Tahoma"/>
          <w:b/>
          <w:bCs/>
          <w:i/>
          <w:iCs/>
          <w:sz w:val="20"/>
          <w:szCs w:val="20"/>
        </w:rPr>
      </w:pPr>
    </w:p>
    <w:p w:rsidR="00B67177" w:rsidRPr="00B67177" w:rsidRDefault="00B67177" w:rsidP="00B67177">
      <w:pPr>
        <w:spacing w:line="240" w:lineRule="auto"/>
        <w:ind w:left="720"/>
        <w:rPr>
          <w:rFonts w:ascii="Tahoma" w:hAnsi="Tahoma" w:cs="Tahoma"/>
          <w:b/>
          <w:bCs/>
          <w:i/>
          <w:iCs/>
          <w:sz w:val="20"/>
          <w:szCs w:val="20"/>
        </w:rPr>
      </w:pPr>
      <w:r w:rsidRPr="00B67177">
        <w:rPr>
          <w:rFonts w:ascii="Tahoma" w:hAnsi="Tahoma" w:cs="Tahoma"/>
          <w:b/>
          <w:bCs/>
          <w:i/>
          <w:iCs/>
          <w:sz w:val="20"/>
          <w:szCs w:val="20"/>
        </w:rPr>
        <w:t>Respecto a la eventual responsabilidad del postor por la presentación de documentos falsos o inexactos</w:t>
      </w:r>
    </w:p>
    <w:p w:rsid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Sobre el particular, el literal i) del artículo 51 de la Ley, concordante con el artículo 237 del Reglamento establece que los agentes privados de la contratación incurrirán en infracción susceptible de sanción cuando presenten documentos falsos o información inexacta a las Entidades , al Tribunal o al OSCE. Dicha infracción se configura con la sola presentación del documento falso o inexacto, sin que la norma exija otros factores adicionales ; es decir, con la sola afectación del Principio de Presunción de Veracidad</w:t>
      </w:r>
      <w:r w:rsidRPr="00B67177">
        <w:rPr>
          <w:rStyle w:val="Refdenotaalpie"/>
          <w:rFonts w:ascii="Tahoma" w:hAnsi="Tahoma" w:cs="Tahoma"/>
          <w:sz w:val="20"/>
          <w:szCs w:val="20"/>
        </w:rPr>
        <w:footnoteReference w:id="4"/>
      </w:r>
      <w:r w:rsidRPr="00B67177">
        <w:rPr>
          <w:rFonts w:ascii="Tahoma" w:hAnsi="Tahoma" w:cs="Tahoma"/>
          <w:sz w:val="20"/>
          <w:szCs w:val="20"/>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B67177" w:rsidRDefault="00B67177" w:rsidP="00B67177">
      <w:pPr>
        <w:spacing w:after="0" w:line="240" w:lineRule="auto"/>
        <w:ind w:left="720"/>
        <w:jc w:val="both"/>
        <w:rPr>
          <w:rFonts w:ascii="Tahoma" w:hAnsi="Tahoma" w:cs="Tahoma"/>
          <w:sz w:val="20"/>
          <w:szCs w:val="20"/>
        </w:rPr>
      </w:pPr>
    </w:p>
    <w:p w:rsid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Asimismo, </w:t>
      </w:r>
      <w:r w:rsidRPr="00B67177">
        <w:rPr>
          <w:rFonts w:ascii="Tahoma" w:hAnsi="Tahoma" w:cs="Tahoma"/>
          <w:sz w:val="20"/>
          <w:szCs w:val="20"/>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B67177">
        <w:rPr>
          <w:rFonts w:ascii="Tahoma" w:hAnsi="Tahoma" w:cs="Tahoma"/>
          <w:b/>
          <w:bCs/>
          <w:sz w:val="20"/>
          <w:szCs w:val="20"/>
          <w:lang w:val="es-MX"/>
        </w:rPr>
        <w:t>se presumen verificados por quien hace uso de ellos, así como de contenido veraz para fines del procedimiento administrativo</w:t>
      </w:r>
      <w:r w:rsidRPr="00B67177">
        <w:rPr>
          <w:rFonts w:ascii="Tahoma" w:hAnsi="Tahoma" w:cs="Tahoma"/>
          <w:sz w:val="20"/>
          <w:szCs w:val="20"/>
          <w:lang w:val="es-MX"/>
        </w:rPr>
        <w:t xml:space="preserve">. Sin embargo, esta presunción es de índole </w:t>
      </w:r>
      <w:r w:rsidRPr="00B67177">
        <w:rPr>
          <w:rFonts w:ascii="Tahoma" w:hAnsi="Tahoma" w:cs="Tahoma"/>
          <w:i/>
          <w:iCs/>
          <w:sz w:val="20"/>
          <w:szCs w:val="20"/>
          <w:lang w:val="es-MX"/>
        </w:rPr>
        <w:t>juris tantum</w:t>
      </w:r>
      <w:r w:rsidRPr="00B67177">
        <w:rPr>
          <w:rFonts w:ascii="Tahoma" w:hAnsi="Tahoma" w:cs="Tahoma"/>
          <w:sz w:val="20"/>
          <w:szCs w:val="20"/>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B67177" w:rsidRDefault="00B67177" w:rsidP="00B67177">
      <w:pPr>
        <w:pStyle w:val="Prrafodelista"/>
        <w:rPr>
          <w:rFonts w:ascii="Tahoma" w:hAnsi="Tahoma" w:cs="Tahoma"/>
          <w:sz w:val="20"/>
        </w:rPr>
      </w:pPr>
    </w:p>
    <w:p w:rsid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B67177" w:rsidRDefault="00B67177" w:rsidP="00B67177">
      <w:pPr>
        <w:pStyle w:val="Prrafodelista"/>
        <w:rPr>
          <w:rFonts w:ascii="Tahoma" w:hAnsi="Tahoma" w:cs="Tahoma"/>
          <w:sz w:val="20"/>
        </w:rPr>
      </w:pPr>
    </w:p>
    <w:p w:rsid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En línea con lo anterior, el literal c) del numeral 1 del artículo 42 del Reglamento establece que los postores y/o contratistas </w:t>
      </w:r>
      <w:r w:rsidRPr="00B67177">
        <w:rPr>
          <w:rFonts w:ascii="Tahoma" w:hAnsi="Tahoma" w:cs="Tahoma"/>
          <w:b/>
          <w:bCs/>
          <w:sz w:val="20"/>
          <w:szCs w:val="20"/>
        </w:rPr>
        <w:t xml:space="preserve">son responsables de la veracidad de </w:t>
      </w:r>
      <w:r w:rsidRPr="00B67177">
        <w:rPr>
          <w:rFonts w:ascii="Tahoma" w:hAnsi="Tahoma" w:cs="Tahoma"/>
          <w:b/>
          <w:bCs/>
          <w:sz w:val="20"/>
          <w:szCs w:val="20"/>
        </w:rPr>
        <w:lastRenderedPageBreak/>
        <w:t>los documentos e información que presentan para efectos de un proceso de selección determinado</w:t>
      </w:r>
      <w:r w:rsidRPr="00B67177">
        <w:rPr>
          <w:rFonts w:ascii="Tahoma" w:hAnsi="Tahoma" w:cs="Tahoma"/>
          <w:sz w:val="20"/>
          <w:szCs w:val="20"/>
        </w:rPr>
        <w:t>.</w:t>
      </w:r>
    </w:p>
    <w:p w:rsidR="00B67177" w:rsidRDefault="00B67177" w:rsidP="00B67177">
      <w:pPr>
        <w:pStyle w:val="Prrafodelista"/>
        <w:rPr>
          <w:rFonts w:ascii="Tahoma" w:hAnsi="Tahoma" w:cs="Tahoma"/>
          <w:sz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B67177" w:rsidRPr="00B67177" w:rsidRDefault="00B67177" w:rsidP="00B67177">
      <w:pPr>
        <w:pStyle w:val="Prrafodelista"/>
        <w:rPr>
          <w:rFonts w:ascii="Tahoma" w:hAnsi="Tahoma" w:cs="Tahoma"/>
          <w:sz w:val="20"/>
          <w:lang w:val="es-PE"/>
        </w:rPr>
      </w:pPr>
    </w:p>
    <w:p w:rsidR="00B67177" w:rsidRPr="00B67177" w:rsidRDefault="00B67177" w:rsidP="00B67177">
      <w:pPr>
        <w:spacing w:line="240" w:lineRule="auto"/>
        <w:ind w:left="720"/>
        <w:jc w:val="both"/>
        <w:rPr>
          <w:rFonts w:ascii="Tahoma" w:hAnsi="Tahoma" w:cs="Tahoma"/>
          <w:i/>
          <w:iCs/>
          <w:sz w:val="20"/>
          <w:szCs w:val="20"/>
          <w:lang w:val="es-PE"/>
        </w:rPr>
      </w:pPr>
      <w:r w:rsidRPr="00B67177">
        <w:rPr>
          <w:rFonts w:ascii="Tahoma" w:hAnsi="Tahoma" w:cs="Tahoma"/>
          <w:sz w:val="20"/>
          <w:szCs w:val="20"/>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B67177">
        <w:rPr>
          <w:rFonts w:ascii="Tahoma" w:hAnsi="Tahoma" w:cs="Tahoma"/>
          <w:i/>
          <w:iCs/>
          <w:sz w:val="20"/>
          <w:szCs w:val="20"/>
          <w:lang w:val="es-PE"/>
        </w:rPr>
        <w:t>Principios de Moralidad</w:t>
      </w:r>
      <w:r w:rsidRPr="00B67177">
        <w:rPr>
          <w:rFonts w:ascii="Tahoma" w:hAnsi="Tahoma" w:cs="Tahoma"/>
          <w:sz w:val="20"/>
          <w:szCs w:val="20"/>
          <w:lang w:val="es-PE"/>
        </w:rPr>
        <w:t xml:space="preserve"> y de </w:t>
      </w:r>
      <w:r w:rsidRPr="00B67177">
        <w:rPr>
          <w:rFonts w:ascii="Tahoma" w:hAnsi="Tahoma" w:cs="Tahoma"/>
          <w:i/>
          <w:iCs/>
          <w:sz w:val="20"/>
          <w:szCs w:val="20"/>
          <w:lang w:val="es-PE"/>
        </w:rPr>
        <w:t>Presunción de Veracidad.</w:t>
      </w: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En el presente caso está referido a la supuesta responsabilidad del Postor, por la presentación de los siguientes documentos supuestamente falsos o </w:t>
      </w:r>
      <w:r w:rsidRPr="00B67177">
        <w:rPr>
          <w:rFonts w:ascii="Tahoma" w:hAnsi="Tahoma" w:cs="Tahoma"/>
          <w:sz w:val="20"/>
          <w:szCs w:val="20"/>
          <w:u w:val="single"/>
        </w:rPr>
        <w:t>inexactos</w:t>
      </w:r>
      <w:r w:rsidRPr="00B67177">
        <w:rPr>
          <w:rFonts w:ascii="Tahoma" w:hAnsi="Tahoma" w:cs="Tahoma"/>
          <w:sz w:val="20"/>
          <w:szCs w:val="20"/>
        </w:rPr>
        <w:t xml:space="preserve">: </w:t>
      </w:r>
      <w:r w:rsidRPr="00B67177">
        <w:rPr>
          <w:rStyle w:val="nfasis"/>
          <w:rFonts w:ascii="Tahoma" w:hAnsi="Tahoma" w:cs="Tahoma"/>
          <w:b/>
          <w:bCs/>
          <w:color w:val="000000"/>
          <w:sz w:val="20"/>
          <w:szCs w:val="20"/>
        </w:rPr>
        <w:t xml:space="preserve">DECLARACIÓN JURADA DE CUMPLIMIENTO DE LOS REQUERIMIENTOS TÉCNICOS MINIMOS </w:t>
      </w:r>
      <w:r w:rsidRPr="00B67177">
        <w:rPr>
          <w:rStyle w:val="nfasis"/>
          <w:rFonts w:ascii="Tahoma" w:hAnsi="Tahoma" w:cs="Tahoma"/>
          <w:color w:val="000000"/>
          <w:sz w:val="20"/>
          <w:szCs w:val="20"/>
        </w:rPr>
        <w:t>DEL BIEN CONVOCADO de fecha 17.02.2010</w:t>
      </w:r>
      <w:r w:rsidRPr="00B67177">
        <w:rPr>
          <w:rStyle w:val="nfasis"/>
          <w:rFonts w:ascii="Tahoma" w:hAnsi="Tahoma" w:cs="Tahoma"/>
          <w:b/>
          <w:bCs/>
          <w:color w:val="000000"/>
          <w:sz w:val="20"/>
          <w:szCs w:val="20"/>
        </w:rPr>
        <w:t xml:space="preserve">, DECLARACIÓN JURADA </w:t>
      </w:r>
      <w:r w:rsidRPr="00B67177">
        <w:rPr>
          <w:rStyle w:val="nfasis"/>
          <w:rFonts w:ascii="Tahoma" w:hAnsi="Tahoma" w:cs="Tahoma"/>
          <w:color w:val="000000"/>
          <w:sz w:val="20"/>
          <w:szCs w:val="20"/>
        </w:rPr>
        <w:t>(ART. 42° DEL REGLAMENTO DE LA LEY DE CONTRATACIONES DEL ESTADO) de fecha 17.02.2010</w:t>
      </w:r>
      <w:r w:rsidRPr="00B67177">
        <w:rPr>
          <w:rStyle w:val="nfasis"/>
          <w:rFonts w:ascii="Tahoma" w:hAnsi="Tahoma" w:cs="Tahoma"/>
          <w:b/>
          <w:bCs/>
          <w:color w:val="000000"/>
          <w:sz w:val="20"/>
          <w:szCs w:val="20"/>
        </w:rPr>
        <w:t xml:space="preserve">, DECLARACIÓN JURADA SOBRE PLAZO DE ENTREGA DE LOS BIENES </w:t>
      </w:r>
      <w:r w:rsidRPr="00B67177">
        <w:rPr>
          <w:rStyle w:val="nfasis"/>
          <w:rFonts w:ascii="Tahoma" w:hAnsi="Tahoma" w:cs="Tahoma"/>
          <w:color w:val="000000"/>
          <w:sz w:val="20"/>
          <w:szCs w:val="20"/>
        </w:rPr>
        <w:t>de fecha 17.02.2010</w:t>
      </w:r>
      <w:r w:rsidRPr="00B67177">
        <w:rPr>
          <w:rStyle w:val="nfasis"/>
          <w:rFonts w:ascii="Tahoma" w:hAnsi="Tahoma" w:cs="Tahoma"/>
          <w:b/>
          <w:bCs/>
          <w:color w:val="000000"/>
          <w:sz w:val="20"/>
          <w:szCs w:val="20"/>
        </w:rPr>
        <w:t xml:space="preserve">, DECLARACIÓN JURADA PORCENTAJE DE INSUMOS NACIONALES </w:t>
      </w:r>
      <w:r w:rsidRPr="00B67177">
        <w:rPr>
          <w:rStyle w:val="nfasis"/>
          <w:rFonts w:ascii="Tahoma" w:hAnsi="Tahoma" w:cs="Tahoma"/>
          <w:color w:val="000000"/>
          <w:sz w:val="20"/>
          <w:szCs w:val="20"/>
        </w:rPr>
        <w:t>de fecha 17.02.2010</w:t>
      </w:r>
      <w:r w:rsidRPr="00B67177">
        <w:rPr>
          <w:rStyle w:val="nfasis"/>
          <w:rFonts w:ascii="Tahoma" w:hAnsi="Tahoma" w:cs="Tahoma"/>
          <w:b/>
          <w:bCs/>
          <w:color w:val="000000"/>
          <w:sz w:val="20"/>
          <w:szCs w:val="20"/>
        </w:rPr>
        <w:t xml:space="preserve"> </w:t>
      </w:r>
      <w:r w:rsidRPr="00B67177">
        <w:rPr>
          <w:rStyle w:val="nfasis"/>
          <w:rFonts w:ascii="Tahoma" w:hAnsi="Tahoma" w:cs="Tahoma"/>
          <w:color w:val="000000"/>
          <w:sz w:val="20"/>
          <w:szCs w:val="20"/>
        </w:rPr>
        <w:t>y</w:t>
      </w:r>
      <w:r w:rsidRPr="00B67177">
        <w:rPr>
          <w:rStyle w:val="nfasis"/>
          <w:rFonts w:ascii="Tahoma" w:hAnsi="Tahoma" w:cs="Tahoma"/>
          <w:b/>
          <w:bCs/>
          <w:color w:val="000000"/>
          <w:sz w:val="20"/>
          <w:szCs w:val="20"/>
        </w:rPr>
        <w:t xml:space="preserve"> DECLARACIÓN JURADA DE DISPONIBILIDAD DE STOCK</w:t>
      </w:r>
    </w:p>
    <w:p w:rsidR="00B67177" w:rsidRDefault="00B67177" w:rsidP="00B67177">
      <w:pPr>
        <w:spacing w:after="0" w:line="240" w:lineRule="auto"/>
        <w:ind w:left="720"/>
        <w:jc w:val="both"/>
        <w:rPr>
          <w:rFonts w:ascii="Tahoma" w:hAnsi="Tahoma" w:cs="Tahoma"/>
          <w:sz w:val="20"/>
          <w:szCs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De manera previa, a analizar si la información contenida en dichos documentos resulta ser inexacta o se trata de un documento falso, resulta pertinente señalar como marco referencial que el presente proceso de selección ha sido convocado para la “</w:t>
      </w:r>
      <w:r w:rsidRPr="00B67177">
        <w:rPr>
          <w:rFonts w:ascii="Tahoma" w:hAnsi="Tahoma" w:cs="Tahoma"/>
          <w:b/>
          <w:bCs/>
          <w:sz w:val="20"/>
          <w:szCs w:val="20"/>
        </w:rPr>
        <w:t>Adquisición de leche evaporada entera en tarro, y hojuelas de quinua y avena precocida fortificada con vitaminas y minerales de 225 grs”.</w:t>
      </w:r>
      <w:r w:rsidRPr="00B67177">
        <w:rPr>
          <w:rFonts w:ascii="Tahoma" w:hAnsi="Tahoma" w:cs="Tahoma"/>
          <w:sz w:val="20"/>
          <w:szCs w:val="20"/>
        </w:rPr>
        <w:t xml:space="preserve"> </w:t>
      </w:r>
    </w:p>
    <w:p w:rsidR="00B67177" w:rsidRDefault="00B67177" w:rsidP="00B67177">
      <w:pPr>
        <w:spacing w:after="0" w:line="240" w:lineRule="auto"/>
        <w:ind w:left="720"/>
        <w:jc w:val="both"/>
        <w:rPr>
          <w:rFonts w:ascii="Tahoma" w:hAnsi="Tahoma" w:cs="Tahoma"/>
          <w:sz w:val="20"/>
          <w:szCs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En ese sentido, de conformidad con el capítulo IV de las Bases, referido a las especificaciones técnicas de los productos del programa vaso de leche, se detalla que la ración alimenticia debe contener como mínimo 207 Kilocalorías, y una adecuada distribución energética y estar fortificada con vitaminas y minerales en conformidad a la RM 711-2002/SA/DM.</w:t>
      </w:r>
    </w:p>
    <w:p w:rsidR="00B67177" w:rsidRDefault="00B67177" w:rsidP="00B67177">
      <w:pPr>
        <w:spacing w:after="0" w:line="240" w:lineRule="auto"/>
        <w:ind w:left="720"/>
        <w:jc w:val="both"/>
        <w:rPr>
          <w:rFonts w:ascii="Tahoma" w:hAnsi="Tahoma" w:cs="Tahoma"/>
          <w:sz w:val="20"/>
          <w:szCs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Asimismo, para la elaboración de tales productos, en concordancia con lo establecido en los artículos </w:t>
      </w:r>
      <w:r w:rsidRPr="00B67177">
        <w:rPr>
          <w:rFonts w:ascii="Tahoma" w:hAnsi="Tahoma" w:cs="Tahoma"/>
          <w:b/>
          <w:bCs/>
          <w:sz w:val="20"/>
          <w:szCs w:val="20"/>
          <w:u w:val="single"/>
        </w:rPr>
        <w:t>4 y 5 de la Ley Nº 27712 y la modificatoria de la Ley Nº 27470</w:t>
      </w:r>
      <w:r w:rsidRPr="00B67177">
        <w:rPr>
          <w:rFonts w:ascii="Tahoma" w:hAnsi="Tahoma" w:cs="Tahoma"/>
          <w:sz w:val="20"/>
          <w:szCs w:val="20"/>
        </w:rPr>
        <w:t>, el 90% de los insumos deberá ser de procedencia nacional, siendo su composición exigida para este proceso la siguiente:</w:t>
      </w:r>
    </w:p>
    <w:p w:rsidR="00B67177" w:rsidRPr="00B67177" w:rsidRDefault="00B67177" w:rsidP="00B67177">
      <w:pPr>
        <w:pStyle w:val="Prrafodelista"/>
        <w:rPr>
          <w:rFonts w:ascii="Tahoma" w:hAnsi="Tahoma" w:cs="Tahoma"/>
          <w:sz w:val="20"/>
          <w:lang w:val="es-ES"/>
        </w:rPr>
      </w:pPr>
    </w:p>
    <w:p w:rsidR="00B67177" w:rsidRPr="00B67177" w:rsidRDefault="00B67177" w:rsidP="00B67177">
      <w:pPr>
        <w:spacing w:line="240" w:lineRule="auto"/>
        <w:ind w:left="720"/>
        <w:jc w:val="center"/>
        <w:rPr>
          <w:rFonts w:ascii="Tahoma" w:hAnsi="Tahoma" w:cs="Tahoma"/>
          <w:sz w:val="20"/>
          <w:szCs w:val="20"/>
        </w:rPr>
      </w:pPr>
      <w:r w:rsidRPr="00B67177">
        <w:rPr>
          <w:rFonts w:ascii="Tahoma" w:hAnsi="Tahoma" w:cs="Tahoma"/>
          <w:sz w:val="20"/>
          <w:szCs w:val="20"/>
        </w:rPr>
        <w:t>Hojuelas de Quinua : 90%</w:t>
      </w:r>
    </w:p>
    <w:p w:rsidR="00B67177" w:rsidRPr="00B67177" w:rsidRDefault="00B67177" w:rsidP="00B67177">
      <w:pPr>
        <w:spacing w:line="240" w:lineRule="auto"/>
        <w:ind w:left="720"/>
        <w:jc w:val="center"/>
        <w:rPr>
          <w:rFonts w:ascii="Tahoma" w:hAnsi="Tahoma" w:cs="Tahoma"/>
          <w:sz w:val="20"/>
          <w:szCs w:val="20"/>
        </w:rPr>
      </w:pPr>
      <w:r w:rsidRPr="00B67177">
        <w:rPr>
          <w:rFonts w:ascii="Tahoma" w:hAnsi="Tahoma" w:cs="Tahoma"/>
          <w:sz w:val="20"/>
          <w:szCs w:val="20"/>
        </w:rPr>
        <w:t>Hojuelas de Avena : 7.20%</w:t>
      </w:r>
    </w:p>
    <w:p w:rsidR="00B67177" w:rsidRPr="00B67177" w:rsidRDefault="00B67177" w:rsidP="00B67177">
      <w:pPr>
        <w:spacing w:line="240" w:lineRule="auto"/>
        <w:ind w:left="720"/>
        <w:jc w:val="center"/>
        <w:rPr>
          <w:rFonts w:ascii="Tahoma" w:hAnsi="Tahoma" w:cs="Tahoma"/>
          <w:sz w:val="20"/>
          <w:szCs w:val="20"/>
        </w:rPr>
      </w:pPr>
      <w:r w:rsidRPr="00B67177">
        <w:rPr>
          <w:rFonts w:ascii="Tahoma" w:hAnsi="Tahoma" w:cs="Tahoma"/>
          <w:sz w:val="20"/>
          <w:szCs w:val="20"/>
        </w:rPr>
        <w:t>Mix de vitaminas y minerales: 2.80</w:t>
      </w: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Llegados a este punto, y a efectos de dar cumplimiento a la composición exigida del producto, el Postor declaró bajo juramento a través de la Declaración Jurada </w:t>
      </w:r>
      <w:r w:rsidRPr="00B67177">
        <w:rPr>
          <w:rFonts w:ascii="Tahoma" w:hAnsi="Tahoma" w:cs="Tahoma"/>
          <w:sz w:val="20"/>
          <w:szCs w:val="20"/>
        </w:rPr>
        <w:lastRenderedPageBreak/>
        <w:t>Porcentaje de Insumos Nacionales de fecha 17 de febrero de 2010</w:t>
      </w:r>
      <w:r w:rsidRPr="00B67177">
        <w:rPr>
          <w:rStyle w:val="Refdenotaalpie"/>
          <w:rFonts w:ascii="Tahoma" w:hAnsi="Tahoma" w:cs="Tahoma"/>
          <w:sz w:val="20"/>
          <w:szCs w:val="20"/>
        </w:rPr>
        <w:footnoteReference w:id="5"/>
      </w:r>
      <w:r w:rsidRPr="00B67177">
        <w:rPr>
          <w:rFonts w:ascii="Tahoma" w:hAnsi="Tahoma" w:cs="Tahoma"/>
          <w:sz w:val="20"/>
          <w:szCs w:val="20"/>
        </w:rPr>
        <w:t>, que el producto presentado al proceso de selección ostentaba la composición antes señalada, precisando que  las hojuelas precocidas de quinua y avena eran de procedencia nacional  y que el mix de vitaminas y minerales era importado.</w:t>
      </w:r>
    </w:p>
    <w:p w:rsidR="00B67177" w:rsidRDefault="00B67177" w:rsidP="00B67177">
      <w:pPr>
        <w:pStyle w:val="Prrafodelista"/>
        <w:widowControl/>
        <w:suppressAutoHyphens w:val="0"/>
        <w:ind w:left="720"/>
        <w:jc w:val="both"/>
        <w:rPr>
          <w:rFonts w:ascii="Tahoma" w:hAnsi="Tahoma" w:cs="Tahoma"/>
          <w:sz w:val="20"/>
        </w:rPr>
      </w:pPr>
    </w:p>
    <w:p w:rsidR="00B67177" w:rsidRPr="00B67177" w:rsidRDefault="00B67177" w:rsidP="00B67177">
      <w:pPr>
        <w:pStyle w:val="Prrafodelista"/>
        <w:widowControl/>
        <w:numPr>
          <w:ilvl w:val="0"/>
          <w:numId w:val="10"/>
        </w:numPr>
        <w:suppressAutoHyphens w:val="0"/>
        <w:jc w:val="both"/>
        <w:rPr>
          <w:rFonts w:ascii="Tahoma" w:hAnsi="Tahoma" w:cs="Tahoma"/>
          <w:sz w:val="20"/>
        </w:rPr>
      </w:pPr>
      <w:r w:rsidRPr="00B67177">
        <w:rPr>
          <w:rFonts w:ascii="Tahoma" w:hAnsi="Tahoma" w:cs="Tahoma"/>
          <w:sz w:val="20"/>
        </w:rPr>
        <w:t xml:space="preserve">En aplicación del </w:t>
      </w:r>
      <w:r w:rsidRPr="00B67177">
        <w:rPr>
          <w:rFonts w:ascii="Tahoma" w:hAnsi="Tahoma" w:cs="Tahoma"/>
          <w:i/>
          <w:iCs/>
          <w:sz w:val="20"/>
        </w:rPr>
        <w:t xml:space="preserve">Principio de Privilegio de Controles Posteriores, </w:t>
      </w:r>
      <w:r w:rsidRPr="00B67177">
        <w:rPr>
          <w:rFonts w:ascii="Tahoma" w:hAnsi="Tahoma" w:cs="Tahoma"/>
          <w:sz w:val="20"/>
        </w:rPr>
        <w:t>contemplado en el numeral 1.16 del Artículo IV del Título Preliminar de la Ley N.° 27444</w:t>
      </w:r>
      <w:r w:rsidRPr="00B67177">
        <w:rPr>
          <w:rStyle w:val="Refdenotaalpie"/>
          <w:rFonts w:ascii="Tahoma" w:hAnsi="Tahoma" w:cs="Tahoma"/>
          <w:sz w:val="20"/>
        </w:rPr>
        <w:footnoteReference w:id="6"/>
      </w:r>
      <w:r w:rsidRPr="00B67177">
        <w:rPr>
          <w:rFonts w:ascii="Tahoma" w:hAnsi="Tahoma" w:cs="Tahoma"/>
          <w:sz w:val="20"/>
        </w:rPr>
        <w:t>, la Entidad solicitó a la Dirección General de Salud que indique si a la fecha de presentación de propuestas, el fabricante del producto ofertado por el Postor se encontraba habilitado para producir el bien con los componentes antes señalados.</w:t>
      </w:r>
    </w:p>
    <w:p w:rsidR="00B67177" w:rsidRPr="00B67177" w:rsidRDefault="00B67177" w:rsidP="00B67177">
      <w:pPr>
        <w:pStyle w:val="Prrafodelista"/>
        <w:rPr>
          <w:rFonts w:ascii="Tahoma" w:hAnsi="Tahoma" w:cs="Tahoma"/>
          <w:sz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En atención a dicho requerimiento, con Oficio Nº 00791-2010/DHAZ/DIGESA de fecha 31 de marzo de 2010, la Dirección General de Salud DIGESA, informó que la empresa MOLINERA LOS ANGELES S.A. cuenta con Registro Sanitario E56264N/NAMLLS para la fabricación y comercialización del producto “quinua avena fortificada en hojuelas precocidas DON LUCHO”, sin embargo, no cuenta con la ampliación de la formulación descrita al 17 de febrero de 2010,  en tanto, la referida empresa con Anotación  (2), refiere la siguiente formulación: Quinua 71.74%, avena 20 % y mix de vitaminas y mineral 8.26%.</w:t>
      </w:r>
    </w:p>
    <w:p w:rsidR="00B67177" w:rsidRPr="00B67177" w:rsidRDefault="00B67177" w:rsidP="00B67177">
      <w:pPr>
        <w:pStyle w:val="Prrafodelista"/>
        <w:rPr>
          <w:rFonts w:ascii="Tahoma" w:hAnsi="Tahoma" w:cs="Tahoma"/>
          <w:sz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Dicha información fue ratificada con el Oficio Nº 1186-2010/DHAZ/DIGESA del 21 de mayo de 2010, en el que la DIGESA informó que la anotación (04) realizada en el Registro Sanitario de la empresa fabricante MOLINERA LOS ANGELES S.A., en la cual se modifica la variación cuantitiva de Quinua: 95-10%, avena: 2-80% y vitaminas y minerales: 1-15%, ha sido otorgada el </w:t>
      </w:r>
      <w:r w:rsidRPr="00B67177">
        <w:rPr>
          <w:rFonts w:ascii="Tahoma" w:hAnsi="Tahoma" w:cs="Tahoma"/>
          <w:sz w:val="20"/>
          <w:szCs w:val="20"/>
          <w:u w:val="single"/>
        </w:rPr>
        <w:t>22 de marzo de 2010</w:t>
      </w:r>
      <w:r w:rsidRPr="00B67177">
        <w:rPr>
          <w:rFonts w:ascii="Tahoma" w:hAnsi="Tahoma" w:cs="Tahoma"/>
          <w:sz w:val="20"/>
          <w:szCs w:val="20"/>
        </w:rPr>
        <w:t>.</w:t>
      </w:r>
    </w:p>
    <w:p w:rsidR="00B67177" w:rsidRPr="00B67177" w:rsidRDefault="00B67177" w:rsidP="00B67177">
      <w:pPr>
        <w:pStyle w:val="Prrafodelista"/>
        <w:rPr>
          <w:rFonts w:ascii="Tahoma" w:hAnsi="Tahoma" w:cs="Tahoma"/>
          <w:sz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Dicha aseveración emitida por la DIGESA, permite constatar que a la fecha de presentación de propuestas, es decir el 17 de febrero de 2010, el Postor no podía declarar bajo juramento que los bienes ofertados respecto del ítem Nº 2, elaborados por la empresa  MOLINERA LOS ANGELES S.A. cumplían con las especificaciones técnicas solicitadas en la Bases respecto a la composición del producto.</w:t>
      </w:r>
    </w:p>
    <w:p w:rsidR="00B67177" w:rsidRDefault="00B67177" w:rsidP="00B67177">
      <w:pPr>
        <w:spacing w:after="0" w:line="240" w:lineRule="auto"/>
        <w:ind w:left="720"/>
        <w:jc w:val="both"/>
        <w:rPr>
          <w:rFonts w:ascii="Tahoma" w:hAnsi="Tahoma" w:cs="Tahoma"/>
          <w:sz w:val="20"/>
          <w:szCs w:val="20"/>
        </w:rPr>
      </w:pPr>
    </w:p>
    <w:p w:rsid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En virtud a ello, habiéndose verificado que a la fecha de presentación de propuestas el producto ofertado por el Postor no cumplía con las especificaciones técnicas, y siendo este hecho de conocimiento de la empresa denunciada, pues presentó copia de la solicitud de modificación porcentual en su propuesta técnica, corresponde a este Colegiado evaluar si los documentos cuestionados presentan información inexacta que desvirtúe el Principio de Presunción de Veracidad.</w:t>
      </w:r>
    </w:p>
    <w:p w:rsidR="00B67177" w:rsidRDefault="00B67177" w:rsidP="00B67177">
      <w:pPr>
        <w:pStyle w:val="Prrafodelista"/>
        <w:rPr>
          <w:rFonts w:ascii="Tahoma" w:hAnsi="Tahoma" w:cs="Tahoma"/>
          <w:sz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En relación a la </w:t>
      </w:r>
      <w:r w:rsidRPr="00B67177">
        <w:rPr>
          <w:rStyle w:val="nfasis"/>
          <w:rFonts w:ascii="Tahoma" w:hAnsi="Tahoma" w:cs="Tahoma"/>
          <w:b/>
          <w:bCs/>
          <w:color w:val="000000"/>
          <w:sz w:val="20"/>
          <w:szCs w:val="20"/>
        </w:rPr>
        <w:t>DECLARACIÓN JURADA DE CUMPLIMIENTO DE LOS REQUERIMIENTOS TÉCNICOS MINIMOS</w:t>
      </w:r>
      <w:r w:rsidRPr="00B67177">
        <w:rPr>
          <w:rStyle w:val="Refdenotaalpie"/>
          <w:rFonts w:ascii="Tahoma" w:hAnsi="Tahoma" w:cs="Tahoma"/>
          <w:b/>
          <w:bCs/>
          <w:i/>
          <w:iCs/>
          <w:color w:val="000000"/>
          <w:sz w:val="20"/>
          <w:szCs w:val="20"/>
        </w:rPr>
        <w:footnoteReference w:id="7"/>
      </w:r>
      <w:r w:rsidRPr="00B67177">
        <w:rPr>
          <w:rStyle w:val="nfasis"/>
          <w:rFonts w:ascii="Tahoma" w:hAnsi="Tahoma" w:cs="Tahoma"/>
          <w:b/>
          <w:bCs/>
          <w:color w:val="000000"/>
          <w:sz w:val="20"/>
          <w:szCs w:val="20"/>
        </w:rPr>
        <w:t xml:space="preserve">, </w:t>
      </w:r>
      <w:r w:rsidRPr="00B67177">
        <w:rPr>
          <w:rStyle w:val="nfasis"/>
          <w:rFonts w:ascii="Tahoma" w:hAnsi="Tahoma" w:cs="Tahoma"/>
          <w:color w:val="000000"/>
          <w:sz w:val="20"/>
          <w:szCs w:val="20"/>
        </w:rPr>
        <w:t>se puede corroborar que el Postor, a pesar de conocer el no cumplimiento de de ellos, aseveró ante la Entidad, que el producto ofertado contaba con la distribución exigida en las Bases, es decir :</w:t>
      </w:r>
      <w:r w:rsidRPr="00B67177">
        <w:rPr>
          <w:rFonts w:ascii="Tahoma" w:hAnsi="Tahoma" w:cs="Tahoma"/>
          <w:sz w:val="20"/>
          <w:szCs w:val="20"/>
        </w:rPr>
        <w:t xml:space="preserve">Hojuelas de Quinua : 90%, Hojuelas de Avena : 7.20%, Mix de vitaminas y </w:t>
      </w:r>
      <w:r w:rsidRPr="00B67177">
        <w:rPr>
          <w:rFonts w:ascii="Tahoma" w:hAnsi="Tahoma" w:cs="Tahoma"/>
          <w:sz w:val="20"/>
          <w:szCs w:val="20"/>
        </w:rPr>
        <w:lastRenderedPageBreak/>
        <w:t>minerales: 2.80, indicando adicionalmente que la procedencia de las hojuelas de quinua y avena eran de procedencia nacional,  y que solo el mix de vitaminas y minerales era importado, información que deviene en inexacta, pues a la fecha de presentación de propuestas – 17 de febrero de 2010 - el producto no contaba con dicha autorización según lo indicado por la DIGESA.</w:t>
      </w:r>
    </w:p>
    <w:p w:rsidR="00B67177" w:rsidRPr="00B67177" w:rsidRDefault="00B67177" w:rsidP="00B67177">
      <w:pPr>
        <w:pStyle w:val="Prrafodelista"/>
        <w:rPr>
          <w:rFonts w:ascii="Tahoma" w:hAnsi="Tahoma" w:cs="Tahoma"/>
          <w:sz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En relación a la </w:t>
      </w:r>
      <w:r w:rsidRPr="00B67177">
        <w:rPr>
          <w:rStyle w:val="nfasis"/>
          <w:rFonts w:ascii="Tahoma" w:hAnsi="Tahoma" w:cs="Tahoma"/>
          <w:b/>
          <w:bCs/>
          <w:color w:val="000000"/>
          <w:sz w:val="20"/>
          <w:szCs w:val="20"/>
        </w:rPr>
        <w:t>DECLARACIÓN JURADA</w:t>
      </w:r>
      <w:r w:rsidRPr="00B67177">
        <w:rPr>
          <w:rStyle w:val="Refdenotaalpie"/>
          <w:rFonts w:ascii="Tahoma" w:hAnsi="Tahoma" w:cs="Tahoma"/>
          <w:b/>
          <w:bCs/>
          <w:i/>
          <w:iCs/>
          <w:color w:val="000000"/>
          <w:sz w:val="20"/>
          <w:szCs w:val="20"/>
        </w:rPr>
        <w:footnoteReference w:id="8"/>
      </w:r>
      <w:r w:rsidRPr="00B67177">
        <w:rPr>
          <w:rStyle w:val="nfasis"/>
          <w:rFonts w:ascii="Tahoma" w:hAnsi="Tahoma" w:cs="Tahoma"/>
          <w:b/>
          <w:bCs/>
          <w:color w:val="000000"/>
          <w:sz w:val="20"/>
          <w:szCs w:val="20"/>
        </w:rPr>
        <w:t xml:space="preserve"> </w:t>
      </w:r>
      <w:r w:rsidRPr="00B67177">
        <w:rPr>
          <w:rStyle w:val="nfasis"/>
          <w:rFonts w:ascii="Tahoma" w:hAnsi="Tahoma" w:cs="Tahoma"/>
          <w:color w:val="000000"/>
          <w:sz w:val="20"/>
          <w:szCs w:val="20"/>
        </w:rPr>
        <w:t>(ART. 42° DEL REGLAMENTO DE LA LEY DE CONTRATACIONES DEL ESTADO) de fecha 17.02.2010, debe indicarse que la finalidad de dicha declaración esta destinada a que cada postor se someta a las reglas básicas del proceso de selección, tales como no tener impedimentos de conformidad al artículo 10º, conocer las bases del proceso, hacerse responsable por la veracidad de documentos, mantenerme la oferta y conocer las sanciones contenidas en la Ley de Contrataciones, sin indicarse o afirmarse algún hecho pasible de inexactitud, pues debe considerarse como un documento de adhesión, con el cual el Postor se somete a determinadas exigencias previamente señaladas en la normativa vigente.</w:t>
      </w:r>
    </w:p>
    <w:p w:rsidR="00B67177" w:rsidRPr="00B67177" w:rsidRDefault="00B67177" w:rsidP="00B67177">
      <w:pPr>
        <w:spacing w:after="0" w:line="240" w:lineRule="auto"/>
        <w:ind w:left="720"/>
        <w:jc w:val="both"/>
        <w:rPr>
          <w:rFonts w:ascii="Tahoma" w:hAnsi="Tahoma" w:cs="Tahoma"/>
          <w:sz w:val="20"/>
          <w:szCs w:val="20"/>
        </w:rPr>
      </w:pPr>
    </w:p>
    <w:p w:rsidR="00B67177" w:rsidRPr="00B67177" w:rsidRDefault="00B67177" w:rsidP="00B67177">
      <w:pPr>
        <w:numPr>
          <w:ilvl w:val="0"/>
          <w:numId w:val="10"/>
        </w:numPr>
        <w:spacing w:after="0" w:line="240" w:lineRule="auto"/>
        <w:jc w:val="both"/>
        <w:rPr>
          <w:rStyle w:val="nfasis"/>
          <w:rFonts w:ascii="Tahoma" w:hAnsi="Tahoma" w:cs="Tahoma"/>
          <w:i w:val="0"/>
          <w:iCs w:val="0"/>
          <w:sz w:val="20"/>
          <w:szCs w:val="20"/>
        </w:rPr>
      </w:pPr>
      <w:r w:rsidRPr="00B67177">
        <w:rPr>
          <w:rFonts w:ascii="Tahoma" w:hAnsi="Tahoma" w:cs="Tahoma"/>
          <w:i/>
          <w:iCs/>
          <w:sz w:val="20"/>
          <w:szCs w:val="20"/>
        </w:rPr>
        <w:t xml:space="preserve">Respecto a la </w:t>
      </w:r>
      <w:r w:rsidRPr="00B67177">
        <w:rPr>
          <w:rStyle w:val="nfasis"/>
          <w:rFonts w:ascii="Tahoma" w:hAnsi="Tahoma" w:cs="Tahoma"/>
          <w:b/>
          <w:bCs/>
          <w:color w:val="000000"/>
          <w:sz w:val="20"/>
          <w:szCs w:val="20"/>
        </w:rPr>
        <w:t xml:space="preserve">DECLARACIÓN JURADA SOBRE PLAZO DE ENTREGA DE LOS BIENES </w:t>
      </w:r>
      <w:r w:rsidRPr="00B67177">
        <w:rPr>
          <w:rStyle w:val="nfasis"/>
          <w:rFonts w:ascii="Tahoma" w:hAnsi="Tahoma" w:cs="Tahoma"/>
          <w:color w:val="000000"/>
          <w:sz w:val="20"/>
          <w:szCs w:val="20"/>
        </w:rPr>
        <w:t>de fecha 17.02.2010</w:t>
      </w:r>
      <w:r w:rsidRPr="00B67177">
        <w:rPr>
          <w:rStyle w:val="nfasis"/>
          <w:rFonts w:ascii="Tahoma" w:hAnsi="Tahoma" w:cs="Tahoma"/>
          <w:b/>
          <w:bCs/>
          <w:color w:val="000000"/>
          <w:sz w:val="20"/>
          <w:szCs w:val="20"/>
        </w:rPr>
        <w:t xml:space="preserve"> </w:t>
      </w:r>
      <w:r w:rsidRPr="00B67177">
        <w:rPr>
          <w:rStyle w:val="nfasis"/>
          <w:rFonts w:ascii="Tahoma" w:hAnsi="Tahoma" w:cs="Tahoma"/>
          <w:color w:val="000000"/>
          <w:sz w:val="20"/>
          <w:szCs w:val="20"/>
        </w:rPr>
        <w:t>y la</w:t>
      </w:r>
      <w:r w:rsidRPr="00B67177">
        <w:rPr>
          <w:rStyle w:val="nfasis"/>
          <w:rFonts w:ascii="Tahoma" w:hAnsi="Tahoma" w:cs="Tahoma"/>
          <w:b/>
          <w:bCs/>
          <w:color w:val="000000"/>
          <w:sz w:val="20"/>
          <w:szCs w:val="20"/>
        </w:rPr>
        <w:t xml:space="preserve"> DECLARACIÓN JURADA DE DISPONIBILIDAD DE STOCK</w:t>
      </w:r>
      <w:r w:rsidRPr="00B67177">
        <w:rPr>
          <w:rStyle w:val="nfasis"/>
          <w:rFonts w:ascii="Tahoma" w:hAnsi="Tahoma" w:cs="Tahoma"/>
          <w:color w:val="000000"/>
          <w:sz w:val="20"/>
          <w:szCs w:val="20"/>
        </w:rPr>
        <w:t>, debe precisar que la finalidad de dichos documentos consiste en indicar a la Entidad la cantidad de bienes que ostenta y, el tiempo de  entrega de los mismos, no siendo el objetivo de esta declaración hacer referencia expresa al cumplimiento de  los requerimientos técnicos mínimos, por lo que no adolece de inexactitud.</w:t>
      </w:r>
    </w:p>
    <w:p w:rsidR="00B67177" w:rsidRPr="00B67177" w:rsidRDefault="00B67177" w:rsidP="00B67177">
      <w:pPr>
        <w:pStyle w:val="Prrafodelista"/>
        <w:rPr>
          <w:rStyle w:val="nfasis"/>
          <w:rFonts w:ascii="Tahoma" w:eastAsia="Calibri" w:hAnsi="Tahoma" w:cs="Tahoma"/>
          <w:b/>
          <w:bCs/>
          <w:color w:val="000000"/>
          <w:sz w:val="20"/>
          <w:lang w:val="es-ES"/>
        </w:rPr>
      </w:pPr>
    </w:p>
    <w:p w:rsidR="00B67177" w:rsidRPr="00B67177" w:rsidRDefault="00B67177" w:rsidP="00B67177">
      <w:pPr>
        <w:numPr>
          <w:ilvl w:val="0"/>
          <w:numId w:val="10"/>
        </w:numPr>
        <w:spacing w:after="0" w:line="240" w:lineRule="auto"/>
        <w:jc w:val="both"/>
        <w:rPr>
          <w:rStyle w:val="nfasis"/>
          <w:rFonts w:ascii="Tahoma" w:hAnsi="Tahoma" w:cs="Tahoma"/>
          <w:i w:val="0"/>
          <w:iCs w:val="0"/>
          <w:sz w:val="20"/>
          <w:szCs w:val="20"/>
        </w:rPr>
      </w:pPr>
      <w:r w:rsidRPr="00B67177">
        <w:rPr>
          <w:rStyle w:val="nfasis"/>
          <w:rFonts w:ascii="Tahoma" w:hAnsi="Tahoma" w:cs="Tahoma"/>
          <w:color w:val="000000"/>
          <w:sz w:val="20"/>
          <w:szCs w:val="20"/>
        </w:rPr>
        <w:t>Por otro lado, respecto a la</w:t>
      </w:r>
      <w:r w:rsidRPr="00B67177">
        <w:rPr>
          <w:rStyle w:val="nfasis"/>
          <w:rFonts w:ascii="Tahoma" w:hAnsi="Tahoma" w:cs="Tahoma"/>
          <w:b/>
          <w:bCs/>
          <w:color w:val="000000"/>
          <w:sz w:val="20"/>
          <w:szCs w:val="20"/>
        </w:rPr>
        <w:t xml:space="preserve"> DECLARACIÓN JURADA PORCENTAJE DE INSUMOS NACIONALES </w:t>
      </w:r>
      <w:r w:rsidRPr="00B67177">
        <w:rPr>
          <w:rStyle w:val="nfasis"/>
          <w:rFonts w:ascii="Tahoma" w:hAnsi="Tahoma" w:cs="Tahoma"/>
          <w:color w:val="000000"/>
          <w:sz w:val="20"/>
          <w:szCs w:val="20"/>
        </w:rPr>
        <w:t>de fecha 17.02.2010, el postor expresamente ha acreditado contar con la siguiente distribución:</w:t>
      </w:r>
    </w:p>
    <w:p w:rsidR="00B67177" w:rsidRPr="00B67177" w:rsidRDefault="00B67177" w:rsidP="00B67177">
      <w:pPr>
        <w:pStyle w:val="Prrafodelista"/>
        <w:rPr>
          <w:rFonts w:ascii="Tahoma" w:hAnsi="Tahoma" w:cs="Tahoma"/>
          <w:sz w:val="20"/>
        </w:rPr>
      </w:pPr>
    </w:p>
    <w:p w:rsidR="00B67177" w:rsidRPr="00B67177" w:rsidRDefault="00B67177" w:rsidP="00B67177">
      <w:pPr>
        <w:spacing w:line="240" w:lineRule="auto"/>
        <w:ind w:left="720"/>
        <w:jc w:val="center"/>
        <w:rPr>
          <w:rFonts w:ascii="Tahoma" w:hAnsi="Tahoma" w:cs="Tahoma"/>
          <w:sz w:val="20"/>
          <w:szCs w:val="20"/>
        </w:rPr>
      </w:pPr>
      <w:r w:rsidRPr="00B67177">
        <w:rPr>
          <w:rFonts w:ascii="Tahoma" w:hAnsi="Tahoma" w:cs="Tahoma"/>
          <w:sz w:val="20"/>
          <w:szCs w:val="20"/>
        </w:rPr>
        <w:t>Hojuelas de Quinua : 90% :           NACIONAL</w:t>
      </w:r>
    </w:p>
    <w:p w:rsidR="00B67177" w:rsidRPr="00B67177" w:rsidRDefault="00B67177" w:rsidP="00B67177">
      <w:pPr>
        <w:spacing w:line="240" w:lineRule="auto"/>
        <w:ind w:left="720"/>
        <w:jc w:val="center"/>
        <w:rPr>
          <w:rFonts w:ascii="Tahoma" w:hAnsi="Tahoma" w:cs="Tahoma"/>
          <w:sz w:val="20"/>
          <w:szCs w:val="20"/>
        </w:rPr>
      </w:pPr>
      <w:r w:rsidRPr="00B67177">
        <w:rPr>
          <w:rFonts w:ascii="Tahoma" w:hAnsi="Tahoma" w:cs="Tahoma"/>
          <w:sz w:val="20"/>
          <w:szCs w:val="20"/>
        </w:rPr>
        <w:t>Hojuelas de Avena : 7.20%:           NACIONAL</w:t>
      </w:r>
    </w:p>
    <w:p w:rsidR="00B67177" w:rsidRPr="00B67177" w:rsidRDefault="00B67177" w:rsidP="00B67177">
      <w:pPr>
        <w:spacing w:line="240" w:lineRule="auto"/>
        <w:ind w:left="720"/>
        <w:jc w:val="center"/>
        <w:rPr>
          <w:rFonts w:ascii="Tahoma" w:hAnsi="Tahoma" w:cs="Tahoma"/>
          <w:sz w:val="20"/>
          <w:szCs w:val="20"/>
        </w:rPr>
      </w:pPr>
      <w:r w:rsidRPr="00B67177">
        <w:rPr>
          <w:rFonts w:ascii="Tahoma" w:hAnsi="Tahoma" w:cs="Tahoma"/>
          <w:sz w:val="20"/>
          <w:szCs w:val="20"/>
        </w:rPr>
        <w:t>Mix de vitaminas y minerales: 2.80: IMPORTADO</w:t>
      </w:r>
    </w:p>
    <w:p w:rsidR="00B67177" w:rsidRPr="00B67177" w:rsidRDefault="00B67177" w:rsidP="00B67177">
      <w:pPr>
        <w:pStyle w:val="Prrafodelista"/>
        <w:rPr>
          <w:rFonts w:ascii="Tahoma" w:hAnsi="Tahoma" w:cs="Tahoma"/>
          <w:sz w:val="20"/>
        </w:rPr>
      </w:pPr>
    </w:p>
    <w:p w:rsidR="00B67177" w:rsidRPr="00B67177" w:rsidRDefault="00B67177" w:rsidP="00B67177">
      <w:pPr>
        <w:spacing w:line="240" w:lineRule="auto"/>
        <w:ind w:left="720"/>
        <w:jc w:val="both"/>
        <w:rPr>
          <w:rFonts w:ascii="Tahoma" w:hAnsi="Tahoma" w:cs="Tahoma"/>
          <w:i/>
          <w:iCs/>
          <w:sz w:val="20"/>
          <w:szCs w:val="20"/>
        </w:rPr>
      </w:pPr>
      <w:r w:rsidRPr="00B67177">
        <w:rPr>
          <w:rFonts w:ascii="Tahoma" w:hAnsi="Tahoma" w:cs="Tahoma"/>
          <w:sz w:val="20"/>
          <w:szCs w:val="20"/>
        </w:rPr>
        <w:t xml:space="preserve">Sin embargo, como se ha descrito líneas anteriores, no podía aseverar contar con dicha distribución, si en la misma fecha de presentación de propuestas estaba iniciando la solicitud de variación porcentual ante la DIGESA. En tal sentido, de manera idéntica a la Declaración </w:t>
      </w:r>
      <w:r w:rsidRPr="00B67177">
        <w:rPr>
          <w:rStyle w:val="nfasis"/>
          <w:rFonts w:ascii="Tahoma" w:hAnsi="Tahoma" w:cs="Tahoma"/>
          <w:color w:val="000000"/>
          <w:sz w:val="20"/>
          <w:szCs w:val="20"/>
        </w:rPr>
        <w:t>Jurada De Especificaciones Técnicas (Anexo Nº 03), el documento en cuestión contiene información inexacta.</w:t>
      </w:r>
    </w:p>
    <w:p w:rsidR="00B67177" w:rsidRPr="00B67177" w:rsidRDefault="00B67177" w:rsidP="00B67177">
      <w:pPr>
        <w:spacing w:line="240" w:lineRule="auto"/>
        <w:ind w:left="720"/>
        <w:jc w:val="both"/>
        <w:rPr>
          <w:rFonts w:ascii="Tahoma" w:hAnsi="Tahoma" w:cs="Tahoma"/>
          <w:sz w:val="20"/>
          <w:szCs w:val="20"/>
        </w:rPr>
      </w:pPr>
      <w:r w:rsidRPr="00B67177">
        <w:rPr>
          <w:rFonts w:ascii="Tahoma" w:hAnsi="Tahoma" w:cs="Tahoma"/>
          <w:sz w:val="20"/>
          <w:szCs w:val="20"/>
        </w:rPr>
        <w:t>Conforme a lo expuesto, ha queda acreditado que dos de los documentos materia de denuncia contiene información inexacta.</w:t>
      </w: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 En consecuencia, la conducta del Postor supone una trasgresión del </w:t>
      </w:r>
      <w:r w:rsidRPr="00B67177">
        <w:rPr>
          <w:rFonts w:ascii="Tahoma" w:hAnsi="Tahoma" w:cs="Tahoma"/>
          <w:b/>
          <w:bCs/>
          <w:i/>
          <w:iCs/>
          <w:sz w:val="20"/>
          <w:szCs w:val="20"/>
        </w:rPr>
        <w:t>principio de presunción de veracidad</w:t>
      </w:r>
      <w:r w:rsidRPr="00B67177">
        <w:rPr>
          <w:rFonts w:ascii="Tahoma" w:hAnsi="Tahoma" w:cs="Tahoma"/>
          <w:b/>
          <w:bCs/>
          <w:sz w:val="20"/>
          <w:szCs w:val="20"/>
        </w:rPr>
        <w:t>,</w:t>
      </w:r>
      <w:r w:rsidRPr="00B67177">
        <w:rPr>
          <w:rFonts w:ascii="Tahoma" w:hAnsi="Tahoma" w:cs="Tahoma"/>
          <w:sz w:val="20"/>
          <w:szCs w:val="20"/>
        </w:rPr>
        <w:t xml:space="preserve"> en vista que, si bien a través de dicho principio la Administración Pública se encuentra en el deber de presumir como veraces los documentos presentados por el administrado, esta situación ha quedado desvirtuada </w:t>
      </w:r>
      <w:r w:rsidRPr="00B67177">
        <w:rPr>
          <w:rFonts w:ascii="Tahoma" w:hAnsi="Tahoma" w:cs="Tahoma"/>
          <w:sz w:val="20"/>
          <w:szCs w:val="20"/>
        </w:rPr>
        <w:lastRenderedPageBreak/>
        <w:t>desde el momento en que se ha verificado que los documentos cuestionados son inexactos.</w:t>
      </w:r>
    </w:p>
    <w:p w:rsidR="00B67177" w:rsidRPr="00B67177" w:rsidRDefault="00B67177" w:rsidP="00B67177">
      <w:pPr>
        <w:spacing w:line="240" w:lineRule="auto"/>
        <w:ind w:left="720"/>
        <w:jc w:val="both"/>
        <w:rPr>
          <w:rFonts w:ascii="Tahoma" w:hAnsi="Tahoma" w:cs="Tahoma"/>
          <w:sz w:val="20"/>
          <w:szCs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Como argumento de defensa, el Postor indicó que no se ha tratado de sorprender al Comité Especial, pues no se ha presentado información inexacta sino un documento de un trámite en proceso, por lo que dicha conducta debe ser considerada como una incongruencia en la propuesta, que debió ser detectada por el Comité al momento de la evaluación. </w:t>
      </w:r>
    </w:p>
    <w:p w:rsidR="00B67177" w:rsidRPr="00B67177" w:rsidRDefault="00B67177" w:rsidP="00B67177">
      <w:pPr>
        <w:pStyle w:val="Prrafodelista"/>
        <w:rPr>
          <w:rFonts w:ascii="Tahoma" w:hAnsi="Tahoma" w:cs="Tahoma"/>
          <w:sz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En relación a ello, debe indicarse que al afirmar el Postor que  presentó la solicitud de variación porcentual en su propuesta técnica, denota pleno conocimiento que estaba declarando bajo juramento, una situación que era discordante con la realidad, lo que demuestra su intención en presentar dicha manifestación a efectos de que su propuesta sea admitida en el proceso de selección, a sabiendas que lo aseverado era inexacto.</w:t>
      </w:r>
    </w:p>
    <w:p w:rsidR="00B67177" w:rsidRPr="00B67177" w:rsidRDefault="00B67177" w:rsidP="00B67177">
      <w:pPr>
        <w:pStyle w:val="Prrafodelista"/>
        <w:rPr>
          <w:rFonts w:ascii="Tahoma" w:hAnsi="Tahoma" w:cs="Tahoma"/>
          <w:sz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Por otro lado, respecto a la incongruencia alegada, debe indicarse que esta se configura cuando dos documentos presentados en una propuesta se contradicen expresamente o, de su valoración conjunta, se impide generar certeza al Comité Especial de determinado hecho, lo que no ha ocurrido en el caso concreto, en cual el Postor, ha declarado bajo juramento cumplir con el porcentaje cuantitativo exigido a los productos y la procedencia señalada en las en las bases, lo que se contradice con la situación real del producto a la fecha de presentación de propuestas.</w:t>
      </w:r>
    </w:p>
    <w:p w:rsidR="00B67177" w:rsidRPr="00B67177" w:rsidRDefault="00B67177" w:rsidP="00B67177">
      <w:pPr>
        <w:pStyle w:val="Prrafodelista"/>
        <w:rPr>
          <w:rFonts w:ascii="Tahoma" w:hAnsi="Tahoma" w:cs="Tahoma"/>
          <w:sz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Finalmente,</w:t>
      </w:r>
      <w:r w:rsidRPr="00B67177">
        <w:rPr>
          <w:rFonts w:ascii="Tahoma" w:hAnsi="Tahoma" w:cs="Tahoma"/>
          <w:b/>
          <w:bCs/>
          <w:sz w:val="20"/>
          <w:szCs w:val="20"/>
        </w:rPr>
        <w:t xml:space="preserve"> </w:t>
      </w:r>
      <w:r w:rsidRPr="00B67177">
        <w:rPr>
          <w:rFonts w:ascii="Tahoma" w:hAnsi="Tahoma" w:cs="Tahoma"/>
          <w:sz w:val="20"/>
          <w:szCs w:val="20"/>
        </w:rPr>
        <w:t>el postor indica que se incurrió en un error de interpretación de</w:t>
      </w:r>
      <w:r w:rsidRPr="00B67177">
        <w:rPr>
          <w:rFonts w:ascii="Tahoma" w:hAnsi="Tahoma" w:cs="Tahoma"/>
          <w:b/>
          <w:bCs/>
          <w:sz w:val="20"/>
          <w:szCs w:val="20"/>
        </w:rPr>
        <w:t xml:space="preserve"> </w:t>
      </w:r>
      <w:r w:rsidRPr="00B67177">
        <w:rPr>
          <w:rFonts w:ascii="Tahoma" w:hAnsi="Tahoma" w:cs="Tahoma"/>
          <w:sz w:val="20"/>
          <w:szCs w:val="20"/>
        </w:rPr>
        <w:t xml:space="preserve">las Bases, el considerar que existía la posibilidad de presentar la declaración jurada de trámite de la modificación porcentual presentada a la DIGESA. </w:t>
      </w:r>
    </w:p>
    <w:p w:rsidR="00B67177" w:rsidRDefault="00B67177" w:rsidP="00B67177">
      <w:pPr>
        <w:spacing w:after="0" w:line="240" w:lineRule="auto"/>
        <w:ind w:left="720"/>
        <w:jc w:val="both"/>
        <w:rPr>
          <w:rFonts w:ascii="Tahoma" w:hAnsi="Tahoma" w:cs="Tahoma"/>
          <w:sz w:val="20"/>
          <w:szCs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Respecto a ello, es preciso indicar al Postor, que los procesos de selección cuentan con una etapa en la cual se puede realizar consultas a las bases y observaciones a las mismas, a efectos de evitar interpretaciones erróneas sobre las reglas del proceso.</w:t>
      </w:r>
    </w:p>
    <w:p w:rsidR="00B67177" w:rsidRDefault="00B67177" w:rsidP="00B67177">
      <w:pPr>
        <w:spacing w:line="240" w:lineRule="auto"/>
        <w:ind w:left="720"/>
        <w:jc w:val="both"/>
        <w:rPr>
          <w:rFonts w:ascii="Tahoma" w:hAnsi="Tahoma" w:cs="Tahoma"/>
          <w:sz w:val="20"/>
          <w:szCs w:val="20"/>
        </w:rPr>
      </w:pPr>
    </w:p>
    <w:p w:rsidR="00B67177" w:rsidRPr="00B67177" w:rsidRDefault="00B67177" w:rsidP="00B67177">
      <w:pPr>
        <w:spacing w:line="240" w:lineRule="auto"/>
        <w:ind w:left="720"/>
        <w:jc w:val="both"/>
        <w:rPr>
          <w:rFonts w:ascii="Tahoma" w:hAnsi="Tahoma" w:cs="Tahoma"/>
          <w:sz w:val="20"/>
          <w:szCs w:val="20"/>
        </w:rPr>
      </w:pPr>
      <w:r w:rsidRPr="00B67177">
        <w:rPr>
          <w:rFonts w:ascii="Tahoma" w:hAnsi="Tahoma" w:cs="Tahoma"/>
          <w:sz w:val="20"/>
          <w:szCs w:val="20"/>
        </w:rPr>
        <w:t>Sin embargo, a pesar de contar una apreciación errónea de las bases, este hecho no justifica como eximente de responsabilidad que se haya presentado dos declaraciones juradas aseverando una situación que directamente no se condice con la realidad, pues al haber presentado la solicitud de modificación en su oferta técnica denota el conocimiento de la inexactitud afirmada.</w:t>
      </w: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Nótese, además</w:t>
      </w:r>
      <w:r w:rsidRPr="00B67177">
        <w:rPr>
          <w:rFonts w:ascii="Tahoma" w:hAnsi="Tahoma" w:cs="Tahoma"/>
          <w:b/>
          <w:bCs/>
          <w:sz w:val="20"/>
          <w:szCs w:val="20"/>
        </w:rPr>
        <w:t xml:space="preserve">, </w:t>
      </w:r>
      <w:r w:rsidRPr="00B67177">
        <w:rPr>
          <w:rFonts w:ascii="Tahoma" w:hAnsi="Tahoma" w:cs="Tahoma"/>
          <w:sz w:val="20"/>
          <w:szCs w:val="20"/>
        </w:rPr>
        <w:t xml:space="preserve">que tanto la Ley Nº 27444, como el Reglamento </w:t>
      </w:r>
      <w:r w:rsidRPr="00B67177">
        <w:rPr>
          <w:rFonts w:ascii="Tahoma" w:hAnsi="Tahoma" w:cs="Tahoma"/>
          <w:b/>
          <w:bCs/>
          <w:sz w:val="20"/>
          <w:szCs w:val="20"/>
        </w:rPr>
        <w:t>han establecido que la responsabilidad por la presentación de documentos inexactos corresponde al administrado que los presentó en el trámite del procedimiento administrativo</w:t>
      </w:r>
      <w:r w:rsidRPr="00B67177">
        <w:rPr>
          <w:rFonts w:ascii="Tahoma" w:hAnsi="Tahoma" w:cs="Tahoma"/>
          <w:sz w:val="20"/>
          <w:szCs w:val="20"/>
        </w:rPr>
        <w:t xml:space="preserve">. En el mismo sentido, el numeral 51.1 literal i) del artículo 51 de la Ley y 237 del Reglamento consideran autor de la infracción al </w:t>
      </w:r>
      <w:r w:rsidRPr="00B67177">
        <w:rPr>
          <w:rFonts w:ascii="Tahoma" w:hAnsi="Tahoma" w:cs="Tahoma"/>
          <w:b/>
          <w:bCs/>
          <w:sz w:val="20"/>
          <w:szCs w:val="20"/>
        </w:rPr>
        <w:t>Postor</w:t>
      </w:r>
      <w:r w:rsidRPr="00B67177">
        <w:rPr>
          <w:rFonts w:ascii="Tahoma" w:hAnsi="Tahoma" w:cs="Tahoma"/>
          <w:sz w:val="20"/>
          <w:szCs w:val="20"/>
        </w:rPr>
        <w:t xml:space="preserve"> que presenten documentos falsos o inexactos a la Entidad.</w:t>
      </w:r>
    </w:p>
    <w:p w:rsidR="00B67177" w:rsidRPr="00B67177" w:rsidRDefault="00B67177" w:rsidP="00B67177">
      <w:pPr>
        <w:spacing w:after="0" w:line="240" w:lineRule="auto"/>
        <w:ind w:left="720"/>
        <w:jc w:val="both"/>
        <w:rPr>
          <w:rFonts w:ascii="Tahoma" w:hAnsi="Tahoma" w:cs="Tahoma"/>
          <w:b/>
          <w:bCs/>
          <w:sz w:val="20"/>
          <w:szCs w:val="20"/>
        </w:rPr>
      </w:pPr>
    </w:p>
    <w:p w:rsidR="00B67177" w:rsidRPr="00B67177" w:rsidRDefault="00B67177" w:rsidP="00B67177">
      <w:pPr>
        <w:numPr>
          <w:ilvl w:val="0"/>
          <w:numId w:val="10"/>
        </w:numPr>
        <w:spacing w:after="0" w:line="240" w:lineRule="auto"/>
        <w:jc w:val="both"/>
        <w:rPr>
          <w:rFonts w:ascii="Tahoma" w:hAnsi="Tahoma" w:cs="Tahoma"/>
          <w:b/>
          <w:bCs/>
          <w:sz w:val="20"/>
          <w:szCs w:val="20"/>
        </w:rPr>
      </w:pPr>
      <w:r w:rsidRPr="00B67177">
        <w:rPr>
          <w:rFonts w:ascii="Tahoma" w:hAnsi="Tahoma" w:cs="Tahoma"/>
          <w:sz w:val="20"/>
          <w:szCs w:val="20"/>
        </w:rPr>
        <w:t xml:space="preserve">De lo señalado con anterioridad, se puede concluir que el Postor presentó documentación con información inexacta, a efectos de formalizar su participación en </w:t>
      </w:r>
      <w:r w:rsidRPr="00B67177">
        <w:rPr>
          <w:rFonts w:ascii="Tahoma" w:hAnsi="Tahoma" w:cs="Tahoma"/>
          <w:sz w:val="20"/>
          <w:szCs w:val="20"/>
        </w:rPr>
        <w:lastRenderedPageBreak/>
        <w:t xml:space="preserve">el presente proceso de selección, contraviniendo el  </w:t>
      </w:r>
      <w:r w:rsidRPr="00B67177">
        <w:rPr>
          <w:rFonts w:ascii="Tahoma" w:hAnsi="Tahoma" w:cs="Tahoma"/>
          <w:i/>
          <w:iCs/>
          <w:sz w:val="20"/>
          <w:szCs w:val="20"/>
        </w:rPr>
        <w:t>Principio de Moralidad</w:t>
      </w:r>
      <w:r w:rsidRPr="00B67177">
        <w:rPr>
          <w:rFonts w:ascii="Tahoma" w:hAnsi="Tahoma" w:cs="Tahoma"/>
          <w:sz w:val="20"/>
          <w:szCs w:val="20"/>
        </w:rPr>
        <w:t xml:space="preserve"> que rige la contratación estatal y bajo el cual éstas deben caracterizarse por la </w:t>
      </w:r>
      <w:r w:rsidRPr="00B67177">
        <w:rPr>
          <w:rFonts w:ascii="Tahoma" w:hAnsi="Tahoma" w:cs="Tahoma"/>
          <w:i/>
          <w:iCs/>
          <w:sz w:val="20"/>
          <w:szCs w:val="20"/>
        </w:rPr>
        <w:t>honradez, veracidad, intangibilidad, justicia y probidad</w:t>
      </w:r>
      <w:r w:rsidRPr="00B67177">
        <w:rPr>
          <w:rFonts w:ascii="Tahoma" w:hAnsi="Tahoma" w:cs="Tahoma"/>
          <w:sz w:val="20"/>
          <w:szCs w:val="20"/>
        </w:rPr>
        <w:t xml:space="preserve">; así como por resultar contraria al artículo 62 del Reglamento, </w:t>
      </w:r>
      <w:r w:rsidRPr="00B67177">
        <w:rPr>
          <w:rFonts w:ascii="Tahoma" w:hAnsi="Tahoma" w:cs="Tahoma"/>
          <w:b/>
          <w:bCs/>
          <w:sz w:val="20"/>
          <w:szCs w:val="20"/>
        </w:rPr>
        <w:t>que establece que el Postor será responsable de la exactitud y veracidad de los documentos que presente como parte de su propuesta técnica.</w:t>
      </w:r>
    </w:p>
    <w:p w:rsidR="00B67177" w:rsidRDefault="00B67177" w:rsidP="00B67177">
      <w:pPr>
        <w:spacing w:after="0" w:line="240" w:lineRule="auto"/>
        <w:ind w:left="720"/>
        <w:jc w:val="both"/>
        <w:rPr>
          <w:rFonts w:ascii="Tahoma" w:hAnsi="Tahoma" w:cs="Tahoma"/>
          <w:b/>
          <w:bCs/>
          <w:sz w:val="20"/>
          <w:szCs w:val="20"/>
        </w:rPr>
      </w:pPr>
    </w:p>
    <w:p w:rsidR="00B67177" w:rsidRPr="00B67177" w:rsidRDefault="00B67177" w:rsidP="00B67177">
      <w:pPr>
        <w:numPr>
          <w:ilvl w:val="0"/>
          <w:numId w:val="10"/>
        </w:numPr>
        <w:tabs>
          <w:tab w:val="num" w:pos="567"/>
        </w:tabs>
        <w:spacing w:after="0" w:line="240" w:lineRule="auto"/>
        <w:jc w:val="both"/>
        <w:rPr>
          <w:rFonts w:ascii="Tahoma" w:hAnsi="Tahoma" w:cs="Tahoma"/>
          <w:b/>
          <w:bCs/>
          <w:sz w:val="20"/>
          <w:szCs w:val="20"/>
        </w:rPr>
      </w:pPr>
      <w:r w:rsidRPr="00B67177">
        <w:rPr>
          <w:rFonts w:ascii="Tahoma" w:hAnsi="Tahoma" w:cs="Tahoma"/>
          <w:b/>
          <w:bCs/>
          <w:sz w:val="20"/>
          <w:szCs w:val="20"/>
        </w:rPr>
        <w:t xml:space="preserve">  </w:t>
      </w:r>
      <w:r w:rsidRPr="00B67177">
        <w:rPr>
          <w:rFonts w:ascii="Tahoma" w:hAnsi="Tahoma" w:cs="Tahoma"/>
          <w:sz w:val="20"/>
          <w:szCs w:val="20"/>
        </w:rPr>
        <w:t xml:space="preserve">Consecuentemente, la conducta desarrollada por el Postor califica dentro del supuesto de hecho de la infracción tipificada en el numeral 1) literal i) del artículo 51 de la Ley y 237 del Reglamento, por la cual corresponde imponer una sanción administrativa de inhabilitación para ser postor y contratar con el Estado por un período no menor de 12 ni mayor 36 meses, </w:t>
      </w:r>
      <w:r w:rsidRPr="00B67177">
        <w:rPr>
          <w:rFonts w:ascii="Tahoma" w:hAnsi="Tahoma" w:cs="Tahoma"/>
          <w:sz w:val="20"/>
          <w:szCs w:val="20"/>
          <w:lang w:val="es-MX"/>
        </w:rPr>
        <w:t xml:space="preserve">conforme a los criterios </w:t>
      </w:r>
      <w:r w:rsidRPr="00B67177">
        <w:rPr>
          <w:rFonts w:ascii="Tahoma" w:hAnsi="Tahoma" w:cs="Tahoma"/>
          <w:sz w:val="20"/>
          <w:szCs w:val="20"/>
        </w:rPr>
        <w:t>para la determinación gradual de la sanción previstos en el artículo 245</w:t>
      </w:r>
      <w:r w:rsidRPr="00B67177">
        <w:rPr>
          <w:rFonts w:ascii="Tahoma" w:hAnsi="Tahoma" w:cs="Tahoma"/>
          <w:sz w:val="20"/>
          <w:szCs w:val="20"/>
          <w:vertAlign w:val="superscript"/>
        </w:rPr>
        <w:footnoteReference w:id="9"/>
      </w:r>
      <w:r w:rsidRPr="00B67177">
        <w:rPr>
          <w:rFonts w:ascii="Tahoma" w:hAnsi="Tahoma" w:cs="Tahoma"/>
          <w:sz w:val="20"/>
          <w:szCs w:val="20"/>
        </w:rPr>
        <w:t xml:space="preserve"> del Reglamento.</w:t>
      </w:r>
    </w:p>
    <w:p w:rsidR="00B67177" w:rsidRDefault="00B67177" w:rsidP="00B67177">
      <w:pPr>
        <w:spacing w:after="0" w:line="240" w:lineRule="auto"/>
        <w:ind w:left="720"/>
        <w:jc w:val="both"/>
        <w:rPr>
          <w:rFonts w:ascii="Tahoma" w:hAnsi="Tahoma" w:cs="Tahoma"/>
          <w:sz w:val="20"/>
          <w:szCs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Además, debe tenerse en cuenta que de acuerdo al </w:t>
      </w:r>
      <w:r w:rsidRPr="00B67177">
        <w:rPr>
          <w:rFonts w:ascii="Tahoma" w:hAnsi="Tahoma" w:cs="Tahoma"/>
          <w:i/>
          <w:iCs/>
          <w:sz w:val="20"/>
          <w:szCs w:val="20"/>
        </w:rPr>
        <w:t>Principio de Razonabilidad</w:t>
      </w:r>
      <w:r w:rsidRPr="00B67177">
        <w:rPr>
          <w:rFonts w:ascii="Tahoma" w:hAnsi="Tahoma" w:cs="Tahoma"/>
          <w:sz w:val="20"/>
          <w:szCs w:val="20"/>
        </w:rPr>
        <w:t>, consagrado en el numeral 3 del artículo 230º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B67177" w:rsidRDefault="00B67177" w:rsidP="00B67177">
      <w:pPr>
        <w:spacing w:after="0" w:line="240" w:lineRule="auto"/>
        <w:ind w:left="720"/>
        <w:jc w:val="both"/>
        <w:rPr>
          <w:rFonts w:ascii="Tahoma" w:hAnsi="Tahoma" w:cs="Tahoma"/>
          <w:sz w:val="20"/>
          <w:szCs w:val="20"/>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En lo que atañe a la conducta procesal del infractor durante la sustanciación del presente procedimiento administrativo sancionador, es necesario tener presente que el Postor ha presentado sus descargos y ha participado en la audiencia pública, mostrando colaboración en el esclarecimiento de los hechos.</w:t>
      </w:r>
    </w:p>
    <w:p w:rsidR="00B67177" w:rsidRPr="00B67177" w:rsidRDefault="00B67177" w:rsidP="00B67177">
      <w:pPr>
        <w:pStyle w:val="Prrafodelista"/>
        <w:rPr>
          <w:rFonts w:ascii="Tahoma" w:hAnsi="Tahoma" w:cs="Tahoma"/>
          <w:sz w:val="20"/>
          <w:lang w:val="es-ES"/>
        </w:rPr>
      </w:pPr>
    </w:p>
    <w:p w:rsidR="00B67177" w:rsidRPr="00B67177" w:rsidRDefault="00B67177" w:rsidP="00B67177">
      <w:pPr>
        <w:numPr>
          <w:ilvl w:val="0"/>
          <w:numId w:val="10"/>
        </w:numPr>
        <w:spacing w:after="0" w:line="240" w:lineRule="auto"/>
        <w:jc w:val="both"/>
        <w:rPr>
          <w:rFonts w:ascii="Tahoma" w:hAnsi="Tahoma" w:cs="Tahoma"/>
          <w:sz w:val="20"/>
          <w:szCs w:val="20"/>
        </w:rPr>
      </w:pPr>
      <w:r w:rsidRPr="00B67177">
        <w:rPr>
          <w:rFonts w:ascii="Tahoma" w:hAnsi="Tahoma" w:cs="Tahoma"/>
          <w:sz w:val="20"/>
          <w:szCs w:val="20"/>
        </w:rPr>
        <w:t xml:space="preserve"> En igual sentido, en cuanto al criterio de intencionalidad del infractor, se ha podido dilucidar que la conducta del postor llevaba implícita la consecución de un fin, como era que su propuesta fuera admitida al proceso de selección, pues los documentos con información inexacta eran de presentación obligatoria.</w:t>
      </w:r>
    </w:p>
    <w:p w:rsidR="008771F7" w:rsidRDefault="008771F7" w:rsidP="008771F7">
      <w:pPr>
        <w:widowControl w:val="0"/>
        <w:suppressAutoHyphens/>
        <w:spacing w:after="0" w:line="240" w:lineRule="auto"/>
        <w:ind w:left="720"/>
        <w:jc w:val="both"/>
        <w:rPr>
          <w:rFonts w:ascii="Tahoma" w:hAnsi="Tahoma" w:cs="Tahoma"/>
          <w:sz w:val="20"/>
          <w:szCs w:val="20"/>
        </w:rPr>
      </w:pPr>
    </w:p>
    <w:p w:rsidR="00B67177" w:rsidRPr="00B67177" w:rsidRDefault="00B67177" w:rsidP="00B67177">
      <w:pPr>
        <w:widowControl w:val="0"/>
        <w:numPr>
          <w:ilvl w:val="0"/>
          <w:numId w:val="10"/>
        </w:numPr>
        <w:suppressAutoHyphens/>
        <w:spacing w:after="0" w:line="240" w:lineRule="auto"/>
        <w:jc w:val="both"/>
        <w:rPr>
          <w:rFonts w:ascii="Tahoma" w:hAnsi="Tahoma" w:cs="Tahoma"/>
          <w:sz w:val="20"/>
          <w:szCs w:val="20"/>
        </w:rPr>
      </w:pPr>
      <w:r w:rsidRPr="00B67177">
        <w:rPr>
          <w:rFonts w:ascii="Tahoma" w:hAnsi="Tahoma" w:cs="Tahoma"/>
          <w:sz w:val="20"/>
          <w:szCs w:val="20"/>
        </w:rPr>
        <w:t xml:space="preserve">Por otro lado, no puede dejar de valorarse que el Postor presenta antecedente en la comisión de infracciones administrativas, al haber sido inhabilitado anteriormente por este Tribunal, para participar en procesos de selección y contratar con el Estado </w:t>
      </w:r>
      <w:r w:rsidRPr="00B67177">
        <w:rPr>
          <w:rFonts w:ascii="Tahoma" w:hAnsi="Tahoma" w:cs="Tahoma"/>
          <w:sz w:val="20"/>
          <w:szCs w:val="20"/>
        </w:rPr>
        <w:lastRenderedPageBreak/>
        <w:t>según Resolución Nº 1642-2010-TC-S2, la cual se mantiene vigente al momento del presente informe.</w:t>
      </w:r>
    </w:p>
    <w:p w:rsidR="00B67177" w:rsidRPr="00B67177" w:rsidRDefault="00B67177" w:rsidP="00B67177">
      <w:pPr>
        <w:widowControl w:val="0"/>
        <w:suppressAutoHyphens/>
        <w:spacing w:line="240" w:lineRule="auto"/>
        <w:ind w:left="720"/>
        <w:rPr>
          <w:rFonts w:ascii="Tahoma" w:hAnsi="Tahoma" w:cs="Tahoma"/>
          <w:sz w:val="20"/>
          <w:szCs w:val="20"/>
        </w:rPr>
      </w:pPr>
    </w:p>
    <w:p w:rsidR="00B67177" w:rsidRPr="00B67177" w:rsidRDefault="00B67177" w:rsidP="00B67177">
      <w:pPr>
        <w:widowControl w:val="0"/>
        <w:numPr>
          <w:ilvl w:val="0"/>
          <w:numId w:val="10"/>
        </w:numPr>
        <w:suppressAutoHyphens/>
        <w:spacing w:after="0" w:line="240" w:lineRule="auto"/>
        <w:jc w:val="both"/>
        <w:rPr>
          <w:rFonts w:ascii="Tahoma" w:hAnsi="Tahoma" w:cs="Tahoma"/>
          <w:sz w:val="20"/>
          <w:szCs w:val="20"/>
        </w:rPr>
      </w:pPr>
      <w:r w:rsidRPr="00B67177">
        <w:rPr>
          <w:rFonts w:ascii="Tahoma" w:hAnsi="Tahoma" w:cs="Tahoma"/>
          <w:sz w:val="20"/>
          <w:szCs w:val="20"/>
        </w:rPr>
        <w:t>Consecuentemente, en virtud a los criterios expuestos, este Colegiado considera que corresponde imponer al Postor una sanción equivalente a trece (13) meses de inhabilitación temporal para participar en procesos de selección y para contratar con el Estado.</w:t>
      </w:r>
    </w:p>
    <w:p w:rsidR="00B67177" w:rsidRPr="00B67177" w:rsidRDefault="00B67177" w:rsidP="00B67177">
      <w:pPr>
        <w:spacing w:after="0" w:line="240" w:lineRule="auto"/>
        <w:ind w:firstLine="567"/>
        <w:jc w:val="both"/>
        <w:rPr>
          <w:rFonts w:ascii="Tahoma" w:hAnsi="Tahoma" w:cs="Tahoma"/>
          <w:sz w:val="20"/>
          <w:szCs w:val="20"/>
          <w:lang w:val="es-ES_tradnl"/>
        </w:rPr>
      </w:pPr>
    </w:p>
    <w:p w:rsidR="00B67177" w:rsidRPr="00B67177" w:rsidRDefault="00B67177" w:rsidP="00B67177">
      <w:pPr>
        <w:spacing w:after="0" w:line="240" w:lineRule="auto"/>
        <w:ind w:left="-284" w:firstLine="360"/>
        <w:jc w:val="both"/>
        <w:rPr>
          <w:rFonts w:ascii="Tahoma" w:hAnsi="Tahoma" w:cs="Tahoma"/>
          <w:sz w:val="20"/>
          <w:szCs w:val="20"/>
        </w:rPr>
      </w:pPr>
      <w:r w:rsidRPr="00B67177">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B67177" w:rsidRPr="00B67177" w:rsidRDefault="00B67177" w:rsidP="00B67177">
      <w:pPr>
        <w:spacing w:after="0" w:line="240" w:lineRule="auto"/>
        <w:jc w:val="both"/>
        <w:rPr>
          <w:rFonts w:ascii="Tahoma" w:hAnsi="Tahoma" w:cs="Tahoma"/>
          <w:sz w:val="20"/>
          <w:szCs w:val="20"/>
        </w:rPr>
      </w:pPr>
    </w:p>
    <w:p w:rsidR="00B67177" w:rsidRPr="00B67177" w:rsidRDefault="00B67177" w:rsidP="00B67177">
      <w:pPr>
        <w:spacing w:after="0" w:line="240" w:lineRule="auto"/>
        <w:ind w:right="-315"/>
        <w:jc w:val="both"/>
        <w:rPr>
          <w:rFonts w:ascii="Tahoma" w:hAnsi="Tahoma" w:cs="Tahoma"/>
          <w:b/>
          <w:sz w:val="20"/>
          <w:szCs w:val="20"/>
        </w:rPr>
      </w:pPr>
      <w:r w:rsidRPr="00B67177">
        <w:rPr>
          <w:rFonts w:ascii="Tahoma" w:hAnsi="Tahoma" w:cs="Tahoma"/>
          <w:b/>
          <w:sz w:val="20"/>
          <w:szCs w:val="20"/>
        </w:rPr>
        <w:t>LA SALA RESUELVE:</w:t>
      </w:r>
    </w:p>
    <w:p w:rsidR="008771F7" w:rsidRPr="008771F7" w:rsidRDefault="008771F7" w:rsidP="008771F7">
      <w:pPr>
        <w:spacing w:after="0" w:line="240" w:lineRule="auto"/>
        <w:ind w:left="360"/>
        <w:jc w:val="both"/>
        <w:rPr>
          <w:rFonts w:ascii="Tahoma" w:hAnsi="Tahoma" w:cs="Tahoma"/>
          <w:sz w:val="20"/>
          <w:szCs w:val="20"/>
        </w:rPr>
      </w:pPr>
    </w:p>
    <w:p w:rsidR="00B67177" w:rsidRPr="00B67177" w:rsidRDefault="00B67177" w:rsidP="00B67177">
      <w:pPr>
        <w:numPr>
          <w:ilvl w:val="0"/>
          <w:numId w:val="12"/>
        </w:numPr>
        <w:spacing w:after="0" w:line="240" w:lineRule="auto"/>
        <w:ind w:hanging="502"/>
        <w:jc w:val="both"/>
        <w:rPr>
          <w:rFonts w:ascii="Tahoma" w:hAnsi="Tahoma" w:cs="Tahoma"/>
          <w:sz w:val="20"/>
          <w:szCs w:val="20"/>
        </w:rPr>
      </w:pPr>
      <w:r w:rsidRPr="00B67177">
        <w:rPr>
          <w:rFonts w:ascii="Tahoma" w:hAnsi="Tahoma" w:cs="Tahoma"/>
          <w:sz w:val="20"/>
          <w:szCs w:val="20"/>
          <w:lang w:val="es-PE"/>
        </w:rPr>
        <w:t xml:space="preserve">Imponer a la empresa </w:t>
      </w:r>
      <w:r w:rsidRPr="00B67177">
        <w:rPr>
          <w:rFonts w:ascii="Tahoma" w:hAnsi="Tahoma" w:cs="Tahoma"/>
          <w:b/>
          <w:bCs/>
          <w:sz w:val="20"/>
          <w:szCs w:val="20"/>
        </w:rPr>
        <w:t>DISTRIBUIDORA ARCANGEL S.A.C.,</w:t>
      </w:r>
      <w:r w:rsidRPr="00B67177">
        <w:rPr>
          <w:rFonts w:ascii="Tahoma" w:hAnsi="Tahoma" w:cs="Tahoma"/>
          <w:sz w:val="20"/>
          <w:szCs w:val="20"/>
        </w:rPr>
        <w:t>, sanción administrativa de inhabilitación temporal por el período de trece (13) meses en sus derechos de participar en procesos de selección y contratar con el Estado, por la comisión de la infracción tipificada en el literal i) del numeral 51.1 del artículo 51 de la Ley de Contrataciones del Estado, aprobado por Decreto Legislativo Nº 1017, y en el literal i) del numeral 1 del artículo 237º de su Reglamento, la cual entrará en vigencia a partir del sexto día hábil de notificada la presente Resolución.</w:t>
      </w:r>
    </w:p>
    <w:p w:rsidR="00B67177" w:rsidRPr="00B67177" w:rsidRDefault="00B67177" w:rsidP="00B67177">
      <w:pPr>
        <w:spacing w:line="240" w:lineRule="auto"/>
        <w:rPr>
          <w:rFonts w:ascii="Tahoma" w:hAnsi="Tahoma" w:cs="Tahoma"/>
          <w:sz w:val="20"/>
          <w:szCs w:val="20"/>
        </w:rPr>
      </w:pPr>
    </w:p>
    <w:p w:rsidR="00B67177" w:rsidRPr="00B67177" w:rsidRDefault="00B67177" w:rsidP="00B67177">
      <w:pPr>
        <w:numPr>
          <w:ilvl w:val="0"/>
          <w:numId w:val="12"/>
        </w:numPr>
        <w:spacing w:after="0" w:line="240" w:lineRule="auto"/>
        <w:jc w:val="both"/>
        <w:rPr>
          <w:rFonts w:ascii="Tahoma" w:hAnsi="Tahoma" w:cs="Tahoma"/>
          <w:sz w:val="20"/>
          <w:szCs w:val="20"/>
        </w:rPr>
      </w:pPr>
      <w:r w:rsidRPr="00B67177">
        <w:rPr>
          <w:rFonts w:ascii="Tahoma" w:hAnsi="Tahoma" w:cs="Tahoma"/>
          <w:sz w:val="20"/>
          <w:szCs w:val="20"/>
        </w:rPr>
        <w:t>Poner la presente Resolución en conocimiento de la Subdirección del Registro Nacional de Proveedores del Organismo Supervisor de la Contrataciones del Estado (OSCE), para las anotaciones de ley.</w:t>
      </w:r>
    </w:p>
    <w:p w:rsidR="00B67177" w:rsidRPr="00B67177" w:rsidRDefault="00B67177" w:rsidP="00B67177">
      <w:pPr>
        <w:pStyle w:val="Prrafodelista"/>
        <w:rPr>
          <w:rFonts w:ascii="Tahoma" w:hAnsi="Tahoma" w:cs="Tahoma"/>
          <w:sz w:val="20"/>
        </w:rPr>
      </w:pPr>
    </w:p>
    <w:p w:rsidR="00B67177" w:rsidRPr="00B67177" w:rsidRDefault="00B67177" w:rsidP="00B67177">
      <w:pPr>
        <w:pStyle w:val="Ttulo3"/>
        <w:spacing w:line="240" w:lineRule="auto"/>
        <w:jc w:val="both"/>
        <w:rPr>
          <w:rFonts w:ascii="Tahoma" w:hAnsi="Tahoma" w:cs="Tahoma"/>
          <w:b w:val="0"/>
          <w:bCs w:val="0"/>
          <w:sz w:val="20"/>
          <w:szCs w:val="20"/>
        </w:rPr>
      </w:pPr>
      <w:r w:rsidRPr="00B67177">
        <w:rPr>
          <w:rFonts w:ascii="Tahoma" w:hAnsi="Tahoma" w:cs="Tahoma"/>
          <w:b w:val="0"/>
          <w:sz w:val="20"/>
          <w:szCs w:val="20"/>
        </w:rPr>
        <w:t>Regístrese, comuníquese y publíquese.</w:t>
      </w:r>
    </w:p>
    <w:p w:rsidR="00B67177" w:rsidRPr="00B67177" w:rsidRDefault="00B67177" w:rsidP="00B67177">
      <w:pPr>
        <w:spacing w:after="0" w:line="240" w:lineRule="auto"/>
        <w:jc w:val="both"/>
        <w:rPr>
          <w:rFonts w:ascii="Tahoma" w:hAnsi="Tahoma" w:cs="Tahoma"/>
          <w:b/>
          <w:shadow/>
          <w:sz w:val="20"/>
          <w:szCs w:val="20"/>
        </w:rPr>
      </w:pPr>
    </w:p>
    <w:p w:rsidR="00B67177" w:rsidRPr="00B67177" w:rsidRDefault="00B67177" w:rsidP="00B67177">
      <w:pPr>
        <w:spacing w:after="0" w:line="240" w:lineRule="auto"/>
        <w:jc w:val="both"/>
        <w:rPr>
          <w:rFonts w:ascii="Tahoma" w:hAnsi="Tahoma" w:cs="Tahoma"/>
          <w:b/>
          <w:shadow/>
          <w:sz w:val="20"/>
          <w:szCs w:val="20"/>
        </w:rPr>
      </w:pPr>
    </w:p>
    <w:p w:rsidR="00B67177" w:rsidRPr="00B67177" w:rsidRDefault="00B67177" w:rsidP="00B67177">
      <w:pPr>
        <w:spacing w:after="0" w:line="240" w:lineRule="auto"/>
        <w:jc w:val="both"/>
        <w:rPr>
          <w:rFonts w:ascii="Tahoma" w:hAnsi="Tahoma" w:cs="Tahoma"/>
          <w:b/>
          <w:shadow/>
          <w:sz w:val="20"/>
          <w:szCs w:val="20"/>
        </w:rPr>
      </w:pPr>
    </w:p>
    <w:p w:rsidR="00B67177" w:rsidRPr="00B67177" w:rsidRDefault="00B67177" w:rsidP="00B67177">
      <w:pPr>
        <w:spacing w:after="0" w:line="240" w:lineRule="auto"/>
        <w:jc w:val="both"/>
        <w:rPr>
          <w:rFonts w:ascii="Tahoma" w:hAnsi="Tahoma" w:cs="Tahoma"/>
          <w:b/>
          <w:shadow/>
          <w:sz w:val="20"/>
          <w:szCs w:val="20"/>
        </w:rPr>
      </w:pPr>
    </w:p>
    <w:p w:rsidR="00B67177" w:rsidRPr="00B67177" w:rsidRDefault="00B67177" w:rsidP="00B67177">
      <w:pPr>
        <w:spacing w:after="0" w:line="240" w:lineRule="auto"/>
        <w:jc w:val="both"/>
        <w:rPr>
          <w:rFonts w:ascii="Tahoma" w:hAnsi="Tahoma" w:cs="Tahoma"/>
          <w:b/>
          <w:shadow/>
          <w:sz w:val="20"/>
          <w:szCs w:val="20"/>
        </w:rPr>
      </w:pPr>
    </w:p>
    <w:p w:rsidR="00B67177" w:rsidRPr="00B67177" w:rsidRDefault="00B67177" w:rsidP="00B67177">
      <w:pPr>
        <w:spacing w:after="0" w:line="240" w:lineRule="auto"/>
        <w:ind w:left="2832" w:firstLine="708"/>
        <w:jc w:val="both"/>
        <w:rPr>
          <w:rFonts w:ascii="Tahoma" w:hAnsi="Tahoma" w:cs="Tahoma"/>
          <w:b/>
          <w:shadow/>
          <w:sz w:val="20"/>
          <w:szCs w:val="20"/>
        </w:rPr>
      </w:pPr>
      <w:r w:rsidRPr="00B67177">
        <w:rPr>
          <w:rFonts w:ascii="Tahoma" w:hAnsi="Tahoma" w:cs="Tahoma"/>
          <w:b/>
          <w:shadow/>
          <w:sz w:val="20"/>
          <w:szCs w:val="20"/>
        </w:rPr>
        <w:t>PRESIDENTE</w:t>
      </w:r>
    </w:p>
    <w:p w:rsidR="00B67177" w:rsidRPr="00B67177" w:rsidRDefault="00B67177" w:rsidP="00B67177">
      <w:pPr>
        <w:spacing w:after="0" w:line="240" w:lineRule="auto"/>
        <w:jc w:val="both"/>
        <w:rPr>
          <w:rFonts w:ascii="Tahoma" w:hAnsi="Tahoma" w:cs="Tahoma"/>
          <w:b/>
          <w:shadow/>
          <w:sz w:val="20"/>
          <w:szCs w:val="20"/>
        </w:rPr>
      </w:pPr>
    </w:p>
    <w:p w:rsidR="00B67177" w:rsidRPr="00B67177" w:rsidRDefault="00B67177" w:rsidP="00B67177">
      <w:pPr>
        <w:spacing w:after="0" w:line="240" w:lineRule="auto"/>
        <w:jc w:val="both"/>
        <w:rPr>
          <w:rFonts w:ascii="Tahoma" w:hAnsi="Tahoma" w:cs="Tahoma"/>
          <w:b/>
          <w:shadow/>
          <w:sz w:val="20"/>
          <w:szCs w:val="20"/>
        </w:rPr>
      </w:pPr>
    </w:p>
    <w:p w:rsidR="00B67177" w:rsidRPr="00B67177" w:rsidRDefault="00B67177" w:rsidP="00B67177">
      <w:pPr>
        <w:spacing w:after="0" w:line="240" w:lineRule="auto"/>
        <w:jc w:val="both"/>
        <w:rPr>
          <w:rFonts w:ascii="Tahoma" w:hAnsi="Tahoma" w:cs="Tahoma"/>
          <w:b/>
          <w:shadow/>
          <w:sz w:val="20"/>
          <w:szCs w:val="20"/>
        </w:rPr>
      </w:pPr>
    </w:p>
    <w:p w:rsidR="00B67177" w:rsidRPr="00B67177" w:rsidRDefault="00B67177" w:rsidP="00B67177">
      <w:pPr>
        <w:spacing w:after="0" w:line="240" w:lineRule="auto"/>
        <w:jc w:val="both"/>
        <w:rPr>
          <w:rFonts w:ascii="Tahoma" w:hAnsi="Tahoma" w:cs="Tahoma"/>
          <w:b/>
          <w:shadow/>
          <w:sz w:val="20"/>
          <w:szCs w:val="20"/>
        </w:rPr>
      </w:pPr>
    </w:p>
    <w:p w:rsidR="00B67177" w:rsidRPr="00B67177" w:rsidRDefault="00B67177" w:rsidP="00B67177">
      <w:pPr>
        <w:spacing w:after="0" w:line="240" w:lineRule="auto"/>
        <w:jc w:val="both"/>
        <w:rPr>
          <w:rFonts w:ascii="Tahoma" w:hAnsi="Tahoma" w:cs="Tahoma"/>
          <w:shadow/>
          <w:sz w:val="20"/>
          <w:szCs w:val="20"/>
        </w:rPr>
      </w:pPr>
      <w:r w:rsidRPr="00B67177">
        <w:rPr>
          <w:rFonts w:ascii="Tahoma" w:hAnsi="Tahoma" w:cs="Tahoma"/>
          <w:b/>
          <w:shadow/>
          <w:sz w:val="20"/>
          <w:szCs w:val="20"/>
        </w:rPr>
        <w:t xml:space="preserve">                   VOCAL</w:t>
      </w:r>
      <w:r w:rsidRPr="00B67177">
        <w:rPr>
          <w:rFonts w:ascii="Tahoma" w:hAnsi="Tahoma" w:cs="Tahoma"/>
          <w:b/>
          <w:shadow/>
          <w:sz w:val="20"/>
          <w:szCs w:val="20"/>
        </w:rPr>
        <w:tab/>
      </w:r>
      <w:r w:rsidRPr="00B67177">
        <w:rPr>
          <w:rFonts w:ascii="Tahoma" w:hAnsi="Tahoma" w:cs="Tahoma"/>
          <w:b/>
          <w:shadow/>
          <w:sz w:val="20"/>
          <w:szCs w:val="20"/>
        </w:rPr>
        <w:tab/>
      </w:r>
      <w:r w:rsidRPr="00B67177">
        <w:rPr>
          <w:rFonts w:ascii="Tahoma" w:hAnsi="Tahoma" w:cs="Tahoma"/>
          <w:b/>
          <w:shadow/>
          <w:sz w:val="20"/>
          <w:szCs w:val="20"/>
        </w:rPr>
        <w:tab/>
      </w:r>
      <w:r w:rsidRPr="00B67177">
        <w:rPr>
          <w:rFonts w:ascii="Tahoma" w:hAnsi="Tahoma" w:cs="Tahoma"/>
          <w:b/>
          <w:shadow/>
          <w:sz w:val="20"/>
          <w:szCs w:val="20"/>
        </w:rPr>
        <w:tab/>
      </w:r>
      <w:r w:rsidRPr="00B67177">
        <w:rPr>
          <w:rFonts w:ascii="Tahoma" w:hAnsi="Tahoma" w:cs="Tahoma"/>
          <w:b/>
          <w:shadow/>
          <w:sz w:val="20"/>
          <w:szCs w:val="20"/>
        </w:rPr>
        <w:tab/>
      </w:r>
      <w:r w:rsidRPr="00B67177">
        <w:rPr>
          <w:rFonts w:ascii="Tahoma" w:hAnsi="Tahoma" w:cs="Tahoma"/>
          <w:b/>
          <w:shadow/>
          <w:sz w:val="20"/>
          <w:szCs w:val="20"/>
        </w:rPr>
        <w:tab/>
      </w:r>
      <w:r w:rsidRPr="00B67177">
        <w:rPr>
          <w:rFonts w:ascii="Tahoma" w:hAnsi="Tahoma" w:cs="Tahoma"/>
          <w:b/>
          <w:shadow/>
          <w:sz w:val="20"/>
          <w:szCs w:val="20"/>
        </w:rPr>
        <w:tab/>
      </w:r>
      <w:r w:rsidRPr="00B67177">
        <w:rPr>
          <w:rFonts w:ascii="Tahoma" w:hAnsi="Tahoma" w:cs="Tahoma"/>
          <w:b/>
          <w:shadow/>
          <w:sz w:val="20"/>
          <w:szCs w:val="20"/>
        </w:rPr>
        <w:tab/>
        <w:t xml:space="preserve">VOCAL                                                                 </w:t>
      </w:r>
    </w:p>
    <w:p w:rsidR="00B67177" w:rsidRPr="00B67177" w:rsidRDefault="00B67177" w:rsidP="00B67177">
      <w:pPr>
        <w:spacing w:after="0" w:line="240" w:lineRule="auto"/>
        <w:jc w:val="both"/>
        <w:rPr>
          <w:rFonts w:ascii="Tahoma" w:hAnsi="Tahoma" w:cs="Tahoma"/>
          <w:sz w:val="20"/>
          <w:szCs w:val="20"/>
        </w:rPr>
      </w:pPr>
    </w:p>
    <w:p w:rsidR="00B67177" w:rsidRPr="00B67177" w:rsidRDefault="00B67177" w:rsidP="00B67177">
      <w:pPr>
        <w:spacing w:after="0" w:line="240" w:lineRule="auto"/>
        <w:jc w:val="both"/>
        <w:rPr>
          <w:rFonts w:ascii="Tahoma" w:hAnsi="Tahoma" w:cs="Tahoma"/>
          <w:sz w:val="20"/>
          <w:szCs w:val="20"/>
        </w:rPr>
      </w:pPr>
    </w:p>
    <w:p w:rsidR="00B67177" w:rsidRPr="00B67177" w:rsidRDefault="00B67177" w:rsidP="00B67177">
      <w:pPr>
        <w:spacing w:after="0" w:line="240" w:lineRule="auto"/>
        <w:jc w:val="both"/>
        <w:rPr>
          <w:rFonts w:ascii="Tahoma" w:hAnsi="Tahoma" w:cs="Tahoma"/>
          <w:sz w:val="20"/>
          <w:szCs w:val="20"/>
        </w:rPr>
      </w:pPr>
    </w:p>
    <w:p w:rsidR="00B67177" w:rsidRPr="00B67177" w:rsidRDefault="00B67177" w:rsidP="00B67177">
      <w:pPr>
        <w:spacing w:after="0" w:line="240" w:lineRule="auto"/>
        <w:jc w:val="both"/>
        <w:rPr>
          <w:rFonts w:ascii="Tahoma" w:hAnsi="Tahoma" w:cs="Tahoma"/>
          <w:sz w:val="20"/>
          <w:szCs w:val="20"/>
        </w:rPr>
      </w:pPr>
    </w:p>
    <w:p w:rsidR="00B67177" w:rsidRPr="00B67177" w:rsidRDefault="00B67177" w:rsidP="00B67177">
      <w:pPr>
        <w:spacing w:after="0" w:line="240" w:lineRule="auto"/>
        <w:jc w:val="both"/>
        <w:rPr>
          <w:rFonts w:ascii="Tahoma" w:hAnsi="Tahoma" w:cs="Tahoma"/>
          <w:sz w:val="20"/>
          <w:szCs w:val="20"/>
        </w:rPr>
      </w:pPr>
    </w:p>
    <w:p w:rsidR="00B67177" w:rsidRPr="00B67177" w:rsidRDefault="00B67177" w:rsidP="00B67177">
      <w:pPr>
        <w:spacing w:after="0" w:line="240" w:lineRule="auto"/>
        <w:jc w:val="both"/>
        <w:rPr>
          <w:rFonts w:ascii="Tahoma" w:hAnsi="Tahoma" w:cs="Tahoma"/>
          <w:sz w:val="20"/>
          <w:szCs w:val="20"/>
        </w:rPr>
      </w:pPr>
    </w:p>
    <w:p w:rsidR="00B67177" w:rsidRPr="00B67177" w:rsidRDefault="00B67177" w:rsidP="00B67177">
      <w:pPr>
        <w:spacing w:after="0" w:line="240" w:lineRule="auto"/>
        <w:jc w:val="both"/>
        <w:rPr>
          <w:rFonts w:ascii="Tahoma" w:hAnsi="Tahoma" w:cs="Tahoma"/>
          <w:sz w:val="20"/>
          <w:szCs w:val="20"/>
        </w:rPr>
      </w:pPr>
      <w:r w:rsidRPr="00B67177">
        <w:rPr>
          <w:rFonts w:ascii="Tahoma" w:hAnsi="Tahoma" w:cs="Tahoma"/>
          <w:sz w:val="20"/>
          <w:szCs w:val="20"/>
        </w:rPr>
        <w:t>ss.</w:t>
      </w:r>
    </w:p>
    <w:p w:rsidR="00B67177" w:rsidRPr="00B67177" w:rsidRDefault="00B67177" w:rsidP="00B67177">
      <w:pPr>
        <w:spacing w:after="0" w:line="240" w:lineRule="auto"/>
        <w:jc w:val="both"/>
        <w:rPr>
          <w:rFonts w:ascii="Tahoma" w:hAnsi="Tahoma" w:cs="Tahoma"/>
          <w:sz w:val="20"/>
          <w:szCs w:val="20"/>
        </w:rPr>
      </w:pPr>
      <w:r w:rsidRPr="00B67177">
        <w:rPr>
          <w:rFonts w:ascii="Tahoma" w:hAnsi="Tahoma" w:cs="Tahoma"/>
          <w:sz w:val="20"/>
          <w:szCs w:val="20"/>
        </w:rPr>
        <w:t>Navas Rondón.</w:t>
      </w:r>
    </w:p>
    <w:p w:rsidR="00B67177" w:rsidRPr="00B67177" w:rsidRDefault="00B67177" w:rsidP="00B67177">
      <w:pPr>
        <w:spacing w:after="0" w:line="240" w:lineRule="auto"/>
        <w:jc w:val="both"/>
        <w:rPr>
          <w:rFonts w:ascii="Tahoma" w:hAnsi="Tahoma" w:cs="Tahoma"/>
          <w:sz w:val="20"/>
          <w:szCs w:val="20"/>
        </w:rPr>
      </w:pPr>
      <w:r w:rsidRPr="00B67177">
        <w:rPr>
          <w:rFonts w:ascii="Tahoma" w:hAnsi="Tahoma" w:cs="Tahoma"/>
          <w:sz w:val="20"/>
          <w:szCs w:val="20"/>
        </w:rPr>
        <w:t>Ramírez Maynetto.</w:t>
      </w:r>
    </w:p>
    <w:p w:rsidR="00B67177" w:rsidRPr="00B67177" w:rsidRDefault="00B67177" w:rsidP="00B67177">
      <w:pPr>
        <w:spacing w:after="0" w:line="240" w:lineRule="auto"/>
        <w:jc w:val="both"/>
        <w:rPr>
          <w:rFonts w:ascii="Tahoma" w:hAnsi="Tahoma" w:cs="Tahoma"/>
          <w:sz w:val="20"/>
          <w:szCs w:val="20"/>
        </w:rPr>
      </w:pPr>
      <w:r w:rsidRPr="00B67177">
        <w:rPr>
          <w:rFonts w:ascii="Tahoma" w:hAnsi="Tahoma" w:cs="Tahoma"/>
          <w:sz w:val="20"/>
          <w:szCs w:val="20"/>
        </w:rPr>
        <w:t xml:space="preserve">Basulto Liewald, </w:t>
      </w:r>
    </w:p>
    <w:p w:rsidR="00B67177" w:rsidRPr="00B67177" w:rsidRDefault="00B67177" w:rsidP="00B67177">
      <w:pPr>
        <w:spacing w:line="240" w:lineRule="auto"/>
        <w:rPr>
          <w:rFonts w:ascii="Tahoma" w:hAnsi="Tahoma" w:cs="Tahoma"/>
          <w:sz w:val="20"/>
          <w:szCs w:val="20"/>
        </w:rPr>
      </w:pPr>
    </w:p>
    <w:p w:rsidR="002A7F35" w:rsidRPr="00B67177" w:rsidRDefault="002A7F35" w:rsidP="00B67177">
      <w:pPr>
        <w:spacing w:line="240" w:lineRule="auto"/>
        <w:rPr>
          <w:rFonts w:ascii="Tahoma" w:hAnsi="Tahoma" w:cs="Tahoma"/>
          <w:sz w:val="20"/>
          <w:szCs w:val="20"/>
        </w:rPr>
      </w:pPr>
    </w:p>
    <w:sectPr w:rsidR="002A7F35" w:rsidRPr="00B67177" w:rsidSect="002A7F35">
      <w:headerReference w:type="default" r:id="rId7"/>
      <w:footerReference w:type="default" r:id="rId8"/>
      <w:pgSz w:w="11906" w:h="16838"/>
      <w:pgMar w:top="2836" w:right="1700" w:bottom="1418"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FF0" w:rsidRDefault="00FD7FF0" w:rsidP="00B67177">
      <w:pPr>
        <w:spacing w:after="0" w:line="240" w:lineRule="auto"/>
      </w:pPr>
      <w:r>
        <w:separator/>
      </w:r>
    </w:p>
  </w:endnote>
  <w:endnote w:type="continuationSeparator" w:id="1">
    <w:p w:rsidR="00FD7FF0" w:rsidRDefault="00FD7FF0" w:rsidP="00B671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F35" w:rsidRPr="00FD5A0C" w:rsidRDefault="002A7F35">
    <w:pPr>
      <w:pStyle w:val="Piedepgina"/>
      <w:jc w:val="center"/>
      <w:rPr>
        <w:rFonts w:ascii="Tahoma" w:hAnsi="Tahoma" w:cs="Tahoma"/>
        <w:i/>
        <w:sz w:val="18"/>
        <w:szCs w:val="18"/>
      </w:rPr>
    </w:pPr>
    <w:r w:rsidRPr="00FD5A0C">
      <w:rPr>
        <w:rFonts w:ascii="Tahoma" w:hAnsi="Tahoma" w:cs="Tahoma"/>
        <w:i/>
        <w:sz w:val="18"/>
        <w:szCs w:val="18"/>
      </w:rPr>
      <w:t xml:space="preserve">Página </w:t>
    </w:r>
    <w:r w:rsidR="006267CC" w:rsidRPr="00FD5A0C">
      <w:rPr>
        <w:rFonts w:ascii="Tahoma" w:hAnsi="Tahoma" w:cs="Tahoma"/>
        <w:i/>
        <w:sz w:val="18"/>
        <w:szCs w:val="18"/>
      </w:rPr>
      <w:fldChar w:fldCharType="begin"/>
    </w:r>
    <w:r w:rsidRPr="00FD5A0C">
      <w:rPr>
        <w:rFonts w:ascii="Tahoma" w:hAnsi="Tahoma" w:cs="Tahoma"/>
        <w:i/>
        <w:sz w:val="18"/>
        <w:szCs w:val="18"/>
      </w:rPr>
      <w:instrText>PAGE</w:instrText>
    </w:r>
    <w:r w:rsidR="006267CC" w:rsidRPr="00FD5A0C">
      <w:rPr>
        <w:rFonts w:ascii="Tahoma" w:hAnsi="Tahoma" w:cs="Tahoma"/>
        <w:i/>
        <w:sz w:val="18"/>
        <w:szCs w:val="18"/>
      </w:rPr>
      <w:fldChar w:fldCharType="separate"/>
    </w:r>
    <w:r w:rsidR="000016C2">
      <w:rPr>
        <w:rFonts w:ascii="Tahoma" w:hAnsi="Tahoma" w:cs="Tahoma"/>
        <w:i/>
        <w:noProof/>
        <w:sz w:val="18"/>
        <w:szCs w:val="18"/>
      </w:rPr>
      <w:t>1</w:t>
    </w:r>
    <w:r w:rsidR="006267CC" w:rsidRPr="00FD5A0C">
      <w:rPr>
        <w:rFonts w:ascii="Tahoma" w:hAnsi="Tahoma" w:cs="Tahoma"/>
        <w:i/>
        <w:sz w:val="18"/>
        <w:szCs w:val="18"/>
      </w:rPr>
      <w:fldChar w:fldCharType="end"/>
    </w:r>
    <w:r w:rsidRPr="00FD5A0C">
      <w:rPr>
        <w:rFonts w:ascii="Tahoma" w:hAnsi="Tahoma" w:cs="Tahoma"/>
        <w:i/>
        <w:sz w:val="18"/>
        <w:szCs w:val="18"/>
      </w:rPr>
      <w:t xml:space="preserve"> de </w:t>
    </w:r>
    <w:r w:rsidR="006267CC" w:rsidRPr="00FD5A0C">
      <w:rPr>
        <w:rFonts w:ascii="Tahoma" w:hAnsi="Tahoma" w:cs="Tahoma"/>
        <w:i/>
        <w:sz w:val="18"/>
        <w:szCs w:val="18"/>
      </w:rPr>
      <w:fldChar w:fldCharType="begin"/>
    </w:r>
    <w:r w:rsidRPr="00FD5A0C">
      <w:rPr>
        <w:rFonts w:ascii="Tahoma" w:hAnsi="Tahoma" w:cs="Tahoma"/>
        <w:i/>
        <w:sz w:val="18"/>
        <w:szCs w:val="18"/>
      </w:rPr>
      <w:instrText>NUMPAGES</w:instrText>
    </w:r>
    <w:r w:rsidR="006267CC" w:rsidRPr="00FD5A0C">
      <w:rPr>
        <w:rFonts w:ascii="Tahoma" w:hAnsi="Tahoma" w:cs="Tahoma"/>
        <w:i/>
        <w:sz w:val="18"/>
        <w:szCs w:val="18"/>
      </w:rPr>
      <w:fldChar w:fldCharType="separate"/>
    </w:r>
    <w:r w:rsidR="000016C2">
      <w:rPr>
        <w:rFonts w:ascii="Tahoma" w:hAnsi="Tahoma" w:cs="Tahoma"/>
        <w:i/>
        <w:noProof/>
        <w:sz w:val="18"/>
        <w:szCs w:val="18"/>
      </w:rPr>
      <w:t>13</w:t>
    </w:r>
    <w:r w:rsidR="006267CC" w:rsidRPr="00FD5A0C">
      <w:rPr>
        <w:rFonts w:ascii="Tahoma" w:hAnsi="Tahoma" w:cs="Tahoma"/>
        <w:i/>
        <w:sz w:val="18"/>
        <w:szCs w:val="18"/>
      </w:rPr>
      <w:fldChar w:fldCharType="end"/>
    </w:r>
  </w:p>
  <w:p w:rsidR="002A7F35" w:rsidRDefault="002A7F3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FF0" w:rsidRDefault="00FD7FF0" w:rsidP="00B67177">
      <w:pPr>
        <w:spacing w:after="0" w:line="240" w:lineRule="auto"/>
      </w:pPr>
      <w:r>
        <w:separator/>
      </w:r>
    </w:p>
  </w:footnote>
  <w:footnote w:type="continuationSeparator" w:id="1">
    <w:p w:rsidR="00FD7FF0" w:rsidRDefault="00FD7FF0" w:rsidP="00B67177">
      <w:pPr>
        <w:spacing w:after="0" w:line="240" w:lineRule="auto"/>
      </w:pPr>
      <w:r>
        <w:continuationSeparator/>
      </w:r>
    </w:p>
  </w:footnote>
  <w:footnote w:id="2">
    <w:p w:rsidR="002A7F35" w:rsidRPr="0040213E" w:rsidRDefault="002A7F35" w:rsidP="00B67177">
      <w:pPr>
        <w:pStyle w:val="Textonotapie"/>
        <w:rPr>
          <w:rFonts w:ascii="Times New Roman" w:hAnsi="Times New Roman" w:cs="Times New Roman"/>
          <w:i/>
          <w:iCs/>
          <w:sz w:val="18"/>
          <w:szCs w:val="18"/>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i/>
          <w:iCs/>
          <w:sz w:val="18"/>
          <w:szCs w:val="18"/>
        </w:rPr>
        <w:t xml:space="preserve"> Aprobada por Decreto Legislativo Nº 1017.</w:t>
      </w:r>
    </w:p>
    <w:p w:rsidR="002A7F35" w:rsidRDefault="002A7F35" w:rsidP="00B67177">
      <w:pPr>
        <w:pStyle w:val="Textonotapie"/>
      </w:pPr>
    </w:p>
  </w:footnote>
  <w:footnote w:id="3">
    <w:p w:rsidR="002A7F35" w:rsidRPr="0040213E" w:rsidRDefault="002A7F35" w:rsidP="00B67177">
      <w:pPr>
        <w:pStyle w:val="Textonotapie"/>
        <w:rPr>
          <w:rFonts w:ascii="Times New Roman" w:hAnsi="Times New Roman" w:cs="Times New Roman"/>
          <w:i/>
          <w:iCs/>
          <w:sz w:val="18"/>
          <w:szCs w:val="18"/>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i/>
          <w:iCs/>
          <w:sz w:val="18"/>
          <w:szCs w:val="18"/>
        </w:rPr>
        <w:t xml:space="preserve"> Aprobado por Decreto Supremo Nº 184-2008-EF.</w:t>
      </w:r>
    </w:p>
    <w:p w:rsidR="002A7F35" w:rsidRDefault="002A7F35" w:rsidP="00B67177">
      <w:pPr>
        <w:pStyle w:val="Textonotapie"/>
      </w:pPr>
    </w:p>
  </w:footnote>
  <w:footnote w:id="4">
    <w:p w:rsidR="002A7F35" w:rsidRPr="0040213E" w:rsidRDefault="002A7F35" w:rsidP="00B67177">
      <w:pPr>
        <w:pStyle w:val="Textonotapie"/>
        <w:rPr>
          <w:rFonts w:ascii="Times New Roman" w:hAnsi="Times New Roman" w:cs="Times New Roman"/>
          <w:i/>
          <w:iCs/>
          <w:sz w:val="18"/>
          <w:szCs w:val="18"/>
        </w:rPr>
      </w:pPr>
      <w:r w:rsidRPr="0040213E">
        <w:rPr>
          <w:rStyle w:val="Refdenotaalpie"/>
          <w:rFonts w:ascii="Times New Roman" w:hAnsi="Times New Roman" w:cs="Times New Roman"/>
          <w:b/>
          <w:bCs/>
          <w:i/>
          <w:iCs/>
          <w:sz w:val="18"/>
          <w:szCs w:val="18"/>
        </w:rPr>
        <w:footnoteRef/>
      </w:r>
      <w:r w:rsidRPr="0040213E">
        <w:rPr>
          <w:rFonts w:ascii="Times New Roman" w:hAnsi="Times New Roman" w:cs="Times New Roman"/>
          <w:i/>
          <w:iCs/>
          <w:sz w:val="18"/>
          <w:szCs w:val="18"/>
        </w:rPr>
        <w:t xml:space="preserve"> </w:t>
      </w:r>
      <w:r w:rsidRPr="0040213E">
        <w:rPr>
          <w:rFonts w:ascii="Times New Roman" w:hAnsi="Times New Roman" w:cs="Times New Roman"/>
          <w:b/>
          <w:bCs/>
          <w:i/>
          <w:iCs/>
          <w:sz w:val="18"/>
          <w:szCs w:val="18"/>
        </w:rPr>
        <w:t>El Principio de Presunción de Veracidad</w:t>
      </w:r>
      <w:r w:rsidRPr="0040213E">
        <w:rPr>
          <w:rFonts w:ascii="Times New Roman" w:hAnsi="Times New Roman" w:cs="Times New Roman"/>
          <w:i/>
          <w:iCs/>
          <w:sz w:val="18"/>
          <w:szCs w:val="18"/>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40213E">
        <w:rPr>
          <w:rFonts w:ascii="Times New Roman" w:hAnsi="Times New Roman" w:cs="Times New Roman"/>
          <w:b/>
          <w:bCs/>
          <w:i/>
          <w:iCs/>
          <w:sz w:val="18"/>
          <w:szCs w:val="18"/>
        </w:rPr>
        <w:t>Comentarios a la Ley del Procedimiento Administrativo General</w:t>
      </w:r>
      <w:r w:rsidRPr="0040213E">
        <w:rPr>
          <w:rFonts w:ascii="Times New Roman" w:hAnsi="Times New Roman" w:cs="Times New Roman"/>
          <w:i/>
          <w:iCs/>
          <w:sz w:val="18"/>
          <w:szCs w:val="18"/>
        </w:rPr>
        <w:t>. Cuarta Edición. Lima: Gaceta Jurídica, 2005; pp. 74 -75.</w:t>
      </w:r>
    </w:p>
    <w:p w:rsidR="002A7F35" w:rsidRDefault="002A7F35" w:rsidP="00B67177">
      <w:pPr>
        <w:pStyle w:val="Textonotapie"/>
      </w:pPr>
    </w:p>
  </w:footnote>
  <w:footnote w:id="5">
    <w:p w:rsidR="002A7F35" w:rsidRDefault="002A7F35" w:rsidP="00B67177">
      <w:pPr>
        <w:pStyle w:val="Textonotapie"/>
      </w:pPr>
      <w:r>
        <w:rPr>
          <w:rStyle w:val="Refdenotaalpie"/>
        </w:rPr>
        <w:footnoteRef/>
      </w:r>
      <w:r>
        <w:t xml:space="preserve"> Documento obrante a fojas 110 del expediente administrativo.</w:t>
      </w:r>
    </w:p>
  </w:footnote>
  <w:footnote w:id="6">
    <w:p w:rsidR="002A7F35" w:rsidRDefault="002A7F35" w:rsidP="00B67177">
      <w:pPr>
        <w:pStyle w:val="Textonotapie"/>
      </w:pPr>
      <w:r>
        <w:rPr>
          <w:rStyle w:val="Refdenotaalpie"/>
          <w:sz w:val="16"/>
          <w:szCs w:val="16"/>
        </w:rPr>
        <w:footnoteRef/>
      </w:r>
      <w:r>
        <w:rPr>
          <w:sz w:val="16"/>
          <w:szCs w:val="16"/>
        </w:rPr>
        <w:t xml:space="preserve"> </w:t>
      </w:r>
      <w:r>
        <w:rPr>
          <w:b/>
          <w:bCs/>
          <w:sz w:val="16"/>
          <w:szCs w:val="16"/>
        </w:rPr>
        <w:t>Principio de Privilegio de Controles Posteriores.-</w:t>
      </w:r>
      <w:r>
        <w:rPr>
          <w:sz w:val="16"/>
          <w:szCs w:val="16"/>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 w:id="7">
    <w:p w:rsidR="002A7F35" w:rsidRDefault="002A7F35" w:rsidP="00B67177">
      <w:pPr>
        <w:pStyle w:val="Textonotapie"/>
      </w:pPr>
      <w:r>
        <w:rPr>
          <w:rStyle w:val="Refdenotaalpie"/>
        </w:rPr>
        <w:footnoteRef/>
      </w:r>
      <w:r>
        <w:t xml:space="preserve"> Obrante a fojas 110 del expediente administrativo.</w:t>
      </w:r>
    </w:p>
  </w:footnote>
  <w:footnote w:id="8">
    <w:p w:rsidR="002A7F35" w:rsidRDefault="002A7F35" w:rsidP="00B67177">
      <w:pPr>
        <w:pStyle w:val="Textonotapie"/>
      </w:pPr>
    </w:p>
  </w:footnote>
  <w:footnote w:id="9">
    <w:p w:rsidR="002A7F35" w:rsidRPr="008D0CF1" w:rsidRDefault="002A7F35" w:rsidP="00B67177">
      <w:pPr>
        <w:pStyle w:val="Textonotapie"/>
        <w:ind w:left="142" w:hanging="142"/>
        <w:rPr>
          <w:rFonts w:ascii="Times New Roman" w:hAnsi="Times New Roman" w:cs="Times New Roman"/>
          <w:b/>
          <w:bCs/>
          <w:i/>
          <w:iCs/>
          <w:sz w:val="18"/>
          <w:szCs w:val="18"/>
          <w:lang w:val="es-ES_tradnl"/>
        </w:rPr>
      </w:pPr>
      <w:r w:rsidRPr="008D0CF1">
        <w:rPr>
          <w:rStyle w:val="Refdenotaalpie"/>
          <w:rFonts w:ascii="Times New Roman" w:hAnsi="Times New Roman" w:cs="Times New Roman"/>
          <w:i/>
          <w:iCs/>
          <w:sz w:val="18"/>
          <w:szCs w:val="18"/>
        </w:rPr>
        <w:footnoteRef/>
      </w:r>
      <w:r w:rsidRPr="008D0CF1">
        <w:rPr>
          <w:rFonts w:ascii="Times New Roman" w:hAnsi="Times New Roman" w:cs="Times New Roman"/>
          <w:b/>
          <w:bCs/>
          <w:i/>
          <w:iCs/>
          <w:sz w:val="18"/>
          <w:szCs w:val="18"/>
        </w:rPr>
        <w:t xml:space="preserve"> </w:t>
      </w:r>
      <w:r w:rsidRPr="008D0CF1">
        <w:rPr>
          <w:rFonts w:ascii="Times New Roman" w:hAnsi="Times New Roman" w:cs="Times New Roman"/>
          <w:b/>
          <w:bCs/>
          <w:i/>
          <w:iCs/>
          <w:sz w:val="18"/>
          <w:szCs w:val="18"/>
          <w:lang w:val="es-ES_tradnl"/>
        </w:rPr>
        <w:t>Artículo 245.- Determinación gradual de la sanción.-</w:t>
      </w:r>
    </w:p>
    <w:p w:rsidR="002A7F35" w:rsidRPr="008D0CF1" w:rsidRDefault="002A7F35" w:rsidP="00B67177">
      <w:pPr>
        <w:pStyle w:val="Textonotapie"/>
        <w:ind w:left="142"/>
        <w:rPr>
          <w:rFonts w:ascii="Times New Roman" w:hAnsi="Times New Roman" w:cs="Times New Roman"/>
          <w:i/>
          <w:iCs/>
          <w:sz w:val="18"/>
          <w:szCs w:val="18"/>
          <w:lang w:val="es-ES_tradnl"/>
        </w:rPr>
      </w:pPr>
      <w:r w:rsidRPr="008D0CF1">
        <w:rPr>
          <w:rFonts w:ascii="Times New Roman" w:hAnsi="Times New Roman" w:cs="Times New Roman"/>
          <w:i/>
          <w:iCs/>
          <w:sz w:val="18"/>
          <w:szCs w:val="18"/>
          <w:lang w:val="es-ES_tradnl"/>
        </w:rPr>
        <w:t>Para graduar la sanción de inhabilitación temporal a imponerse conforme a las disposiciones del presente Título, el Tribunal considerará los siguientes criterios:</w:t>
      </w:r>
    </w:p>
    <w:p w:rsidR="002A7F35" w:rsidRPr="008D0CF1" w:rsidRDefault="002A7F35" w:rsidP="00B67177">
      <w:pPr>
        <w:pStyle w:val="Textonotapie"/>
        <w:numPr>
          <w:ilvl w:val="0"/>
          <w:numId w:val="11"/>
        </w:numPr>
        <w:tabs>
          <w:tab w:val="clear" w:pos="720"/>
          <w:tab w:val="num" w:pos="284"/>
        </w:tabs>
        <w:ind w:left="284" w:firstLine="0"/>
        <w:rPr>
          <w:rFonts w:ascii="Times New Roman" w:hAnsi="Times New Roman" w:cs="Times New Roman"/>
          <w:i/>
          <w:iCs/>
          <w:sz w:val="18"/>
          <w:szCs w:val="18"/>
          <w:lang w:val="es-ES_tradnl"/>
        </w:rPr>
      </w:pPr>
      <w:r w:rsidRPr="008D0CF1">
        <w:rPr>
          <w:rFonts w:ascii="Times New Roman" w:hAnsi="Times New Roman" w:cs="Times New Roman"/>
          <w:i/>
          <w:iCs/>
          <w:sz w:val="18"/>
          <w:szCs w:val="18"/>
          <w:lang w:val="es-ES_tradnl"/>
        </w:rPr>
        <w:t>Naturaleza de la infracción.</w:t>
      </w:r>
    </w:p>
    <w:p w:rsidR="002A7F35" w:rsidRPr="008D0CF1" w:rsidRDefault="002A7F35" w:rsidP="00B67177">
      <w:pPr>
        <w:pStyle w:val="Textonotapie"/>
        <w:numPr>
          <w:ilvl w:val="0"/>
          <w:numId w:val="11"/>
        </w:numPr>
        <w:tabs>
          <w:tab w:val="clear" w:pos="720"/>
          <w:tab w:val="num" w:pos="284"/>
        </w:tabs>
        <w:ind w:left="284" w:firstLine="0"/>
        <w:rPr>
          <w:rFonts w:ascii="Times New Roman" w:hAnsi="Times New Roman" w:cs="Times New Roman"/>
          <w:i/>
          <w:iCs/>
          <w:sz w:val="18"/>
          <w:szCs w:val="18"/>
          <w:lang w:val="es-ES_tradnl"/>
        </w:rPr>
      </w:pPr>
      <w:r w:rsidRPr="008D0CF1">
        <w:rPr>
          <w:rFonts w:ascii="Times New Roman" w:hAnsi="Times New Roman" w:cs="Times New Roman"/>
          <w:i/>
          <w:iCs/>
          <w:sz w:val="18"/>
          <w:szCs w:val="18"/>
          <w:lang w:val="es-ES_tradnl"/>
        </w:rPr>
        <w:t>Intencionalidad del infractor.</w:t>
      </w:r>
    </w:p>
    <w:p w:rsidR="002A7F35" w:rsidRPr="008D0CF1" w:rsidRDefault="002A7F35" w:rsidP="00B67177">
      <w:pPr>
        <w:pStyle w:val="Textonotapie"/>
        <w:numPr>
          <w:ilvl w:val="0"/>
          <w:numId w:val="11"/>
        </w:numPr>
        <w:tabs>
          <w:tab w:val="clear" w:pos="720"/>
          <w:tab w:val="num" w:pos="284"/>
        </w:tabs>
        <w:ind w:left="284" w:firstLine="0"/>
        <w:rPr>
          <w:rFonts w:ascii="Times New Roman" w:hAnsi="Times New Roman" w:cs="Times New Roman"/>
          <w:i/>
          <w:iCs/>
          <w:sz w:val="18"/>
          <w:szCs w:val="18"/>
          <w:lang w:val="es-ES_tradnl"/>
        </w:rPr>
      </w:pPr>
      <w:r w:rsidRPr="008D0CF1">
        <w:rPr>
          <w:rFonts w:ascii="Times New Roman" w:hAnsi="Times New Roman" w:cs="Times New Roman"/>
          <w:i/>
          <w:iCs/>
          <w:sz w:val="18"/>
          <w:szCs w:val="18"/>
          <w:lang w:val="es-ES_tradnl"/>
        </w:rPr>
        <w:t>Daño causado.</w:t>
      </w:r>
    </w:p>
    <w:p w:rsidR="002A7F35" w:rsidRPr="008D0CF1" w:rsidRDefault="002A7F35" w:rsidP="00B67177">
      <w:pPr>
        <w:pStyle w:val="Textonotapie"/>
        <w:numPr>
          <w:ilvl w:val="0"/>
          <w:numId w:val="11"/>
        </w:numPr>
        <w:tabs>
          <w:tab w:val="clear" w:pos="720"/>
          <w:tab w:val="num" w:pos="284"/>
        </w:tabs>
        <w:ind w:left="284" w:firstLine="0"/>
        <w:rPr>
          <w:rFonts w:ascii="Times New Roman" w:hAnsi="Times New Roman" w:cs="Times New Roman"/>
          <w:i/>
          <w:iCs/>
          <w:sz w:val="18"/>
          <w:szCs w:val="18"/>
          <w:lang w:val="es-ES_tradnl"/>
        </w:rPr>
      </w:pPr>
      <w:r w:rsidRPr="008D0CF1">
        <w:rPr>
          <w:rFonts w:ascii="Times New Roman" w:hAnsi="Times New Roman" w:cs="Times New Roman"/>
          <w:i/>
          <w:iCs/>
          <w:sz w:val="18"/>
          <w:szCs w:val="18"/>
          <w:lang w:val="es-ES_tradnl"/>
        </w:rPr>
        <w:t>Reiterancia.</w:t>
      </w:r>
    </w:p>
    <w:p w:rsidR="002A7F35" w:rsidRPr="008D0CF1" w:rsidRDefault="002A7F35" w:rsidP="00B67177">
      <w:pPr>
        <w:pStyle w:val="Textonotapie"/>
        <w:numPr>
          <w:ilvl w:val="0"/>
          <w:numId w:val="11"/>
        </w:numPr>
        <w:tabs>
          <w:tab w:val="clear" w:pos="720"/>
          <w:tab w:val="num" w:pos="284"/>
        </w:tabs>
        <w:ind w:left="284" w:firstLine="0"/>
        <w:rPr>
          <w:rFonts w:ascii="Times New Roman" w:hAnsi="Times New Roman" w:cs="Times New Roman"/>
          <w:i/>
          <w:iCs/>
          <w:sz w:val="18"/>
          <w:szCs w:val="18"/>
          <w:lang w:val="es-ES_tradnl"/>
        </w:rPr>
      </w:pPr>
      <w:r w:rsidRPr="008D0CF1">
        <w:rPr>
          <w:rFonts w:ascii="Times New Roman" w:hAnsi="Times New Roman" w:cs="Times New Roman"/>
          <w:i/>
          <w:iCs/>
          <w:sz w:val="18"/>
          <w:szCs w:val="18"/>
          <w:lang w:val="es-ES_tradnl"/>
        </w:rPr>
        <w:t>El reconocimiento de la infracción cometida antes de que sea detectada.</w:t>
      </w:r>
    </w:p>
    <w:p w:rsidR="002A7F35" w:rsidRPr="008D0CF1" w:rsidRDefault="002A7F35" w:rsidP="00B67177">
      <w:pPr>
        <w:pStyle w:val="Textonotapie"/>
        <w:numPr>
          <w:ilvl w:val="0"/>
          <w:numId w:val="11"/>
        </w:numPr>
        <w:tabs>
          <w:tab w:val="clear" w:pos="720"/>
          <w:tab w:val="num" w:pos="284"/>
        </w:tabs>
        <w:ind w:left="284" w:firstLine="0"/>
        <w:rPr>
          <w:rFonts w:ascii="Times New Roman" w:hAnsi="Times New Roman" w:cs="Times New Roman"/>
          <w:i/>
          <w:iCs/>
          <w:sz w:val="18"/>
          <w:szCs w:val="18"/>
          <w:lang w:val="es-ES_tradnl"/>
        </w:rPr>
      </w:pPr>
      <w:r w:rsidRPr="008D0CF1">
        <w:rPr>
          <w:rFonts w:ascii="Times New Roman" w:hAnsi="Times New Roman" w:cs="Times New Roman"/>
          <w:i/>
          <w:iCs/>
          <w:sz w:val="18"/>
          <w:szCs w:val="18"/>
          <w:lang w:val="es-ES_tradnl"/>
        </w:rPr>
        <w:t>Circunstancias de tiempo, lugar y modo.</w:t>
      </w:r>
    </w:p>
    <w:p w:rsidR="002A7F35" w:rsidRPr="008D0CF1" w:rsidRDefault="002A7F35" w:rsidP="00B67177">
      <w:pPr>
        <w:pStyle w:val="Textonotapie"/>
        <w:numPr>
          <w:ilvl w:val="0"/>
          <w:numId w:val="11"/>
        </w:numPr>
        <w:tabs>
          <w:tab w:val="clear" w:pos="720"/>
          <w:tab w:val="num" w:pos="284"/>
        </w:tabs>
        <w:ind w:left="284" w:firstLine="0"/>
        <w:rPr>
          <w:rFonts w:ascii="Times New Roman" w:hAnsi="Times New Roman" w:cs="Times New Roman"/>
          <w:i/>
          <w:iCs/>
          <w:sz w:val="18"/>
          <w:szCs w:val="18"/>
          <w:lang w:val="es-ES_tradnl"/>
        </w:rPr>
      </w:pPr>
      <w:r w:rsidRPr="008D0CF1">
        <w:rPr>
          <w:rFonts w:ascii="Times New Roman" w:hAnsi="Times New Roman" w:cs="Times New Roman"/>
          <w:i/>
          <w:iCs/>
          <w:sz w:val="18"/>
          <w:szCs w:val="18"/>
          <w:lang w:val="es-ES_tradnl"/>
        </w:rPr>
        <w:t>Condiciones del infractor.</w:t>
      </w:r>
    </w:p>
    <w:p w:rsidR="002A7F35" w:rsidRDefault="002A7F35" w:rsidP="00B67177">
      <w:pPr>
        <w:pStyle w:val="Textonotapie"/>
        <w:numPr>
          <w:ilvl w:val="0"/>
          <w:numId w:val="11"/>
        </w:numPr>
        <w:tabs>
          <w:tab w:val="clear" w:pos="720"/>
          <w:tab w:val="num" w:pos="284"/>
        </w:tabs>
        <w:ind w:left="284" w:firstLine="0"/>
      </w:pPr>
      <w:r w:rsidRPr="008D0CF1">
        <w:rPr>
          <w:rFonts w:ascii="Times New Roman" w:hAnsi="Times New Roman" w:cs="Times New Roman"/>
          <w:i/>
          <w:iCs/>
          <w:sz w:val="18"/>
          <w:szCs w:val="18"/>
          <w:lang w:val="es-ES_tradnl"/>
        </w:rPr>
        <w:t>Conducta procesal del infractor</w:t>
      </w:r>
      <w:r w:rsidRPr="00FA5149">
        <w:rPr>
          <w:rFonts w:ascii="Times New Roman" w:hAnsi="Times New Roman" w:cs="Times New Roman"/>
          <w:i/>
          <w:iCs/>
          <w:sz w:val="16"/>
          <w:szCs w:val="16"/>
          <w:lang w:val="es-ES_tradn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6C2" w:rsidRDefault="000016C2" w:rsidP="000016C2">
    <w:pPr>
      <w:pStyle w:val="Encabezado"/>
      <w:rPr>
        <w:noProof/>
      </w:rPr>
    </w:pPr>
    <w:r>
      <w:rPr>
        <w:noProof/>
        <w:lang w:eastAsia="es-ES"/>
      </w:rPr>
      <w:drawing>
        <wp:anchor distT="0" distB="0" distL="114300" distR="114300" simplePos="0" relativeHeight="251659264"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016C2" w:rsidRDefault="000016C2" w:rsidP="000016C2">
    <w:pPr>
      <w:pStyle w:val="Encabezado"/>
      <w:rPr>
        <w:noProof/>
      </w:rPr>
    </w:pPr>
  </w:p>
  <w:p w:rsidR="000016C2" w:rsidRDefault="000016C2" w:rsidP="000016C2">
    <w:pPr>
      <w:pStyle w:val="Encabezado"/>
      <w:rPr>
        <w:noProof/>
      </w:rPr>
    </w:pPr>
  </w:p>
  <w:p w:rsidR="000016C2" w:rsidRDefault="000016C2" w:rsidP="000016C2">
    <w:pPr>
      <w:pStyle w:val="Encabezado"/>
      <w:rPr>
        <w:noProof/>
      </w:rPr>
    </w:pPr>
  </w:p>
  <w:p w:rsidR="000016C2" w:rsidRDefault="000016C2" w:rsidP="000016C2">
    <w:pPr>
      <w:pStyle w:val="Encabezado"/>
      <w:jc w:val="center"/>
    </w:pPr>
    <w:r>
      <w:rPr>
        <w:rFonts w:ascii="Monotype Corsiva" w:hAnsi="Monotype Corsiva"/>
        <w:b/>
        <w:sz w:val="44"/>
        <w:szCs w:val="44"/>
      </w:rPr>
      <w:t xml:space="preserve">Resolución Nº   </w:t>
    </w:r>
    <w:r>
      <w:rPr>
        <w:rFonts w:ascii="Tahoma" w:hAnsi="Tahoma" w:cs="Tahoma"/>
        <w:b/>
        <w:sz w:val="44"/>
        <w:szCs w:val="44"/>
      </w:rPr>
      <w:t>592-2011-TC-S1</w:t>
    </w:r>
  </w:p>
  <w:p w:rsidR="000016C2" w:rsidRDefault="000016C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900"/>
        </w:tabs>
        <w:ind w:left="900"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D89661A"/>
    <w:multiLevelType w:val="hybridMultilevel"/>
    <w:tmpl w:val="30AE0BEE"/>
    <w:lvl w:ilvl="0" w:tplc="F3CEE2B8">
      <w:start w:val="1"/>
      <w:numFmt w:val="decimal"/>
      <w:lvlText w:val="%1."/>
      <w:lvlJc w:val="left"/>
      <w:pPr>
        <w:tabs>
          <w:tab w:val="num" w:pos="454"/>
        </w:tabs>
        <w:ind w:left="454" w:hanging="454"/>
      </w:pPr>
      <w:rPr>
        <w:rFonts w:ascii="Tahoma" w:hAnsi="Tahoma" w:cs="Tahoma" w:hint="default"/>
        <w:b w:val="0"/>
        <w:bCs w:val="0"/>
        <w:i w:val="0"/>
        <w:iCs w:val="0"/>
        <w:outline w:val="0"/>
        <w:shadow/>
        <w:emboss w:val="0"/>
        <w:imprint w:val="0"/>
        <w:color w:val="auto"/>
        <w:sz w:val="20"/>
        <w:szCs w:val="20"/>
        <w:effect w:val="none"/>
      </w:rPr>
    </w:lvl>
    <w:lvl w:ilvl="1" w:tplc="5BA68C46">
      <w:start w:val="1"/>
      <w:numFmt w:val="lowerRoman"/>
      <w:lvlText w:val="(%2)"/>
      <w:lvlJc w:val="left"/>
      <w:pPr>
        <w:tabs>
          <w:tab w:val="num" w:pos="1800"/>
        </w:tabs>
        <w:ind w:left="1800" w:hanging="720"/>
      </w:pPr>
      <w:rPr>
        <w:b/>
        <w:bCs/>
      </w:rPr>
    </w:lvl>
    <w:lvl w:ilvl="2" w:tplc="91224666">
      <w:start w:val="1"/>
      <w:numFmt w:val="lowerRoman"/>
      <w:lvlText w:val="%3."/>
      <w:lvlJc w:val="left"/>
      <w:pPr>
        <w:tabs>
          <w:tab w:val="num" w:pos="1800"/>
        </w:tabs>
        <w:ind w:left="1800" w:hanging="720"/>
      </w:pPr>
      <w:rPr>
        <w:b/>
        <w:bCs/>
      </w:rPr>
    </w:lvl>
    <w:lvl w:ilvl="3" w:tplc="E034C060">
      <w:start w:val="1"/>
      <w:numFmt w:val="lowerLetter"/>
      <w:lvlText w:val="%4."/>
      <w:lvlJc w:val="left"/>
      <w:pPr>
        <w:tabs>
          <w:tab w:val="num" w:pos="2880"/>
        </w:tabs>
        <w:ind w:left="2880" w:hanging="360"/>
      </w:pPr>
      <w:rPr>
        <w:b/>
        <w:bCs/>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11440F8C"/>
    <w:multiLevelType w:val="hybridMultilevel"/>
    <w:tmpl w:val="43E8989A"/>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3">
    <w:nsid w:val="1A654C9E"/>
    <w:multiLevelType w:val="hybridMultilevel"/>
    <w:tmpl w:val="D7F680A0"/>
    <w:lvl w:ilvl="0" w:tplc="08A602CE">
      <w:start w:val="1"/>
      <w:numFmt w:val="decimal"/>
      <w:lvlText w:val="%1."/>
      <w:lvlJc w:val="left"/>
      <w:pPr>
        <w:tabs>
          <w:tab w:val="num" w:pos="360"/>
        </w:tabs>
        <w:ind w:left="360" w:hanging="360"/>
      </w:pPr>
      <w:rPr>
        <w:rFonts w:ascii="Tahoma" w:hAnsi="Tahoma" w:cs="Tahoma" w:hint="default"/>
        <w:b/>
        <w:bCs/>
        <w:i w:val="0"/>
        <w:iCs w:val="0"/>
        <w:sz w:val="20"/>
        <w:szCs w:val="20"/>
      </w:rPr>
    </w:lvl>
    <w:lvl w:ilvl="1" w:tplc="0C0A0019">
      <w:start w:val="1"/>
      <w:numFmt w:val="lowerLetter"/>
      <w:lvlText w:val="%2."/>
      <w:lvlJc w:val="left"/>
      <w:pPr>
        <w:tabs>
          <w:tab w:val="num" w:pos="360"/>
        </w:tabs>
        <w:ind w:left="360" w:hanging="360"/>
      </w:pPr>
    </w:lvl>
    <w:lvl w:ilvl="2" w:tplc="0C0A001B">
      <w:start w:val="1"/>
      <w:numFmt w:val="lowerRoman"/>
      <w:lvlText w:val="%3."/>
      <w:lvlJc w:val="right"/>
      <w:pPr>
        <w:tabs>
          <w:tab w:val="num" w:pos="1080"/>
        </w:tabs>
        <w:ind w:left="1080" w:hanging="180"/>
      </w:pPr>
    </w:lvl>
    <w:lvl w:ilvl="3" w:tplc="0C0A000F">
      <w:start w:val="1"/>
      <w:numFmt w:val="decimal"/>
      <w:lvlText w:val="%4."/>
      <w:lvlJc w:val="left"/>
      <w:pPr>
        <w:tabs>
          <w:tab w:val="num" w:pos="1800"/>
        </w:tabs>
        <w:ind w:left="1800" w:hanging="360"/>
      </w:pPr>
    </w:lvl>
    <w:lvl w:ilvl="4" w:tplc="0C0A0019">
      <w:start w:val="1"/>
      <w:numFmt w:val="lowerLetter"/>
      <w:lvlText w:val="%5."/>
      <w:lvlJc w:val="left"/>
      <w:pPr>
        <w:tabs>
          <w:tab w:val="num" w:pos="2520"/>
        </w:tabs>
        <w:ind w:left="2520" w:hanging="360"/>
      </w:pPr>
    </w:lvl>
    <w:lvl w:ilvl="5" w:tplc="0C0A001B">
      <w:start w:val="1"/>
      <w:numFmt w:val="lowerRoman"/>
      <w:lvlText w:val="%6."/>
      <w:lvlJc w:val="right"/>
      <w:pPr>
        <w:tabs>
          <w:tab w:val="num" w:pos="3240"/>
        </w:tabs>
        <w:ind w:left="3240" w:hanging="180"/>
      </w:pPr>
    </w:lvl>
    <w:lvl w:ilvl="6" w:tplc="0C0A000F">
      <w:start w:val="1"/>
      <w:numFmt w:val="decimal"/>
      <w:lvlText w:val="%7."/>
      <w:lvlJc w:val="left"/>
      <w:pPr>
        <w:tabs>
          <w:tab w:val="num" w:pos="3960"/>
        </w:tabs>
        <w:ind w:left="3960" w:hanging="360"/>
      </w:pPr>
    </w:lvl>
    <w:lvl w:ilvl="7" w:tplc="0C0A0019">
      <w:start w:val="1"/>
      <w:numFmt w:val="lowerLetter"/>
      <w:lvlText w:val="%8."/>
      <w:lvlJc w:val="left"/>
      <w:pPr>
        <w:tabs>
          <w:tab w:val="num" w:pos="4680"/>
        </w:tabs>
        <w:ind w:left="4680" w:hanging="360"/>
      </w:pPr>
    </w:lvl>
    <w:lvl w:ilvl="8" w:tplc="0C0A001B">
      <w:start w:val="1"/>
      <w:numFmt w:val="lowerRoman"/>
      <w:lvlText w:val="%9."/>
      <w:lvlJc w:val="right"/>
      <w:pPr>
        <w:tabs>
          <w:tab w:val="num" w:pos="5400"/>
        </w:tabs>
        <w:ind w:left="5400" w:hanging="180"/>
      </w:pPr>
    </w:lvl>
  </w:abstractNum>
  <w:abstractNum w:abstractNumId="4">
    <w:nsid w:val="2A604CF2"/>
    <w:multiLevelType w:val="hybridMultilevel"/>
    <w:tmpl w:val="0EDE9BEA"/>
    <w:lvl w:ilvl="0" w:tplc="0EECAF6A">
      <w:start w:val="1"/>
      <w:numFmt w:val="decimal"/>
      <w:lvlText w:val="%1)"/>
      <w:lvlJc w:val="left"/>
      <w:pPr>
        <w:tabs>
          <w:tab w:val="num" w:pos="720"/>
        </w:tabs>
        <w:ind w:left="720" w:hanging="360"/>
      </w:pPr>
      <w:rPr>
        <w:rFonts w:hint="default"/>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438A3590"/>
    <w:multiLevelType w:val="hybridMultilevel"/>
    <w:tmpl w:val="DC5E7E28"/>
    <w:lvl w:ilvl="0" w:tplc="3B021508">
      <w:start w:val="1"/>
      <w:numFmt w:val="lowerLetter"/>
      <w:lvlText w:val="%1."/>
      <w:lvlJc w:val="left"/>
      <w:pPr>
        <w:ind w:left="1174" w:hanging="360"/>
      </w:pPr>
      <w:rPr>
        <w:i w:val="0"/>
        <w:iCs w:val="0"/>
      </w:r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7">
    <w:nsid w:val="45A81166"/>
    <w:multiLevelType w:val="hybridMultilevel"/>
    <w:tmpl w:val="A5E26802"/>
    <w:lvl w:ilvl="0" w:tplc="8C9A86E0">
      <w:start w:val="1"/>
      <w:numFmt w:val="lowerRoman"/>
      <w:lvlText w:val="%1)"/>
      <w:lvlJc w:val="left"/>
      <w:pPr>
        <w:tabs>
          <w:tab w:val="num" w:pos="1571"/>
        </w:tabs>
        <w:ind w:left="1571" w:hanging="720"/>
      </w:pPr>
      <w:rPr>
        <w:rFonts w:hint="default"/>
      </w:rPr>
    </w:lvl>
    <w:lvl w:ilvl="1" w:tplc="0C0A0019">
      <w:start w:val="1"/>
      <w:numFmt w:val="lowerLetter"/>
      <w:lvlText w:val="%2."/>
      <w:lvlJc w:val="left"/>
      <w:pPr>
        <w:tabs>
          <w:tab w:val="num" w:pos="1931"/>
        </w:tabs>
        <w:ind w:left="1931" w:hanging="360"/>
      </w:pPr>
    </w:lvl>
    <w:lvl w:ilvl="2" w:tplc="0C0A001B">
      <w:start w:val="1"/>
      <w:numFmt w:val="lowerRoman"/>
      <w:lvlText w:val="%3."/>
      <w:lvlJc w:val="right"/>
      <w:pPr>
        <w:tabs>
          <w:tab w:val="num" w:pos="2651"/>
        </w:tabs>
        <w:ind w:left="2651" w:hanging="180"/>
      </w:pPr>
    </w:lvl>
    <w:lvl w:ilvl="3" w:tplc="0C0A000F">
      <w:start w:val="1"/>
      <w:numFmt w:val="decimal"/>
      <w:lvlText w:val="%4."/>
      <w:lvlJc w:val="left"/>
      <w:pPr>
        <w:tabs>
          <w:tab w:val="num" w:pos="3371"/>
        </w:tabs>
        <w:ind w:left="3371" w:hanging="360"/>
      </w:pPr>
    </w:lvl>
    <w:lvl w:ilvl="4" w:tplc="0C0A0019">
      <w:start w:val="1"/>
      <w:numFmt w:val="lowerLetter"/>
      <w:lvlText w:val="%5."/>
      <w:lvlJc w:val="left"/>
      <w:pPr>
        <w:tabs>
          <w:tab w:val="num" w:pos="4091"/>
        </w:tabs>
        <w:ind w:left="4091" w:hanging="360"/>
      </w:pPr>
    </w:lvl>
    <w:lvl w:ilvl="5" w:tplc="0C0A001B">
      <w:start w:val="1"/>
      <w:numFmt w:val="lowerRoman"/>
      <w:lvlText w:val="%6."/>
      <w:lvlJc w:val="right"/>
      <w:pPr>
        <w:tabs>
          <w:tab w:val="num" w:pos="4811"/>
        </w:tabs>
        <w:ind w:left="4811" w:hanging="180"/>
      </w:pPr>
    </w:lvl>
    <w:lvl w:ilvl="6" w:tplc="0C0A000F">
      <w:start w:val="1"/>
      <w:numFmt w:val="decimal"/>
      <w:lvlText w:val="%7."/>
      <w:lvlJc w:val="left"/>
      <w:pPr>
        <w:tabs>
          <w:tab w:val="num" w:pos="5531"/>
        </w:tabs>
        <w:ind w:left="5531" w:hanging="360"/>
      </w:pPr>
    </w:lvl>
    <w:lvl w:ilvl="7" w:tplc="0C0A0019">
      <w:start w:val="1"/>
      <w:numFmt w:val="lowerLetter"/>
      <w:lvlText w:val="%8."/>
      <w:lvlJc w:val="left"/>
      <w:pPr>
        <w:tabs>
          <w:tab w:val="num" w:pos="6251"/>
        </w:tabs>
        <w:ind w:left="6251" w:hanging="360"/>
      </w:pPr>
    </w:lvl>
    <w:lvl w:ilvl="8" w:tplc="0C0A001B">
      <w:start w:val="1"/>
      <w:numFmt w:val="lowerRoman"/>
      <w:lvlText w:val="%9."/>
      <w:lvlJc w:val="right"/>
      <w:pPr>
        <w:tabs>
          <w:tab w:val="num" w:pos="6971"/>
        </w:tabs>
        <w:ind w:left="6971" w:hanging="180"/>
      </w:pPr>
    </w:lvl>
  </w:abstractNum>
  <w:abstractNum w:abstractNumId="8">
    <w:nsid w:val="47345D84"/>
    <w:multiLevelType w:val="hybridMultilevel"/>
    <w:tmpl w:val="D5FCB66C"/>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9">
    <w:nsid w:val="4ADA5249"/>
    <w:multiLevelType w:val="multilevel"/>
    <w:tmpl w:val="29DEB438"/>
    <w:lvl w:ilvl="0">
      <w:start w:val="1"/>
      <w:numFmt w:val="decimal"/>
      <w:lvlText w:val="%1."/>
      <w:lvlJc w:val="left"/>
      <w:pPr>
        <w:tabs>
          <w:tab w:val="num" w:pos="360"/>
        </w:tabs>
        <w:ind w:left="36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nsid w:val="7E097A28"/>
    <w:multiLevelType w:val="hybridMultilevel"/>
    <w:tmpl w:val="3D8EFAA2"/>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8"/>
  </w:num>
  <w:num w:numId="8">
    <w:abstractNumId w:val="6"/>
  </w:num>
  <w:num w:numId="9">
    <w:abstractNumId w:val="11"/>
  </w:num>
  <w:num w:numId="10">
    <w:abstractNumId w:val="10"/>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footnotePr>
    <w:footnote w:id="0"/>
    <w:footnote w:id="1"/>
  </w:footnotePr>
  <w:endnotePr>
    <w:endnote w:id="0"/>
    <w:endnote w:id="1"/>
  </w:endnotePr>
  <w:compat/>
  <w:rsids>
    <w:rsidRoot w:val="00B67177"/>
    <w:rsid w:val="000016C2"/>
    <w:rsid w:val="00027DEE"/>
    <w:rsid w:val="000D425C"/>
    <w:rsid w:val="002A7F35"/>
    <w:rsid w:val="0032361A"/>
    <w:rsid w:val="003B6C31"/>
    <w:rsid w:val="003B7EAF"/>
    <w:rsid w:val="00406434"/>
    <w:rsid w:val="00436375"/>
    <w:rsid w:val="005116A1"/>
    <w:rsid w:val="006267CC"/>
    <w:rsid w:val="0066645E"/>
    <w:rsid w:val="008771F7"/>
    <w:rsid w:val="0096071E"/>
    <w:rsid w:val="00976D64"/>
    <w:rsid w:val="00B33359"/>
    <w:rsid w:val="00B67177"/>
    <w:rsid w:val="00E432EC"/>
    <w:rsid w:val="00F25C48"/>
    <w:rsid w:val="00FD7FF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177"/>
    <w:rPr>
      <w:rFonts w:ascii="Calibri" w:eastAsia="Calibri" w:hAnsi="Calibri" w:cs="Times New Roman"/>
    </w:rPr>
  </w:style>
  <w:style w:type="paragraph" w:styleId="Ttulo2">
    <w:name w:val="heading 2"/>
    <w:basedOn w:val="Normal"/>
    <w:next w:val="Normal"/>
    <w:link w:val="Ttulo2Car"/>
    <w:qFormat/>
    <w:rsid w:val="00B67177"/>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B67177"/>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B67177"/>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B67177"/>
    <w:rPr>
      <w:rFonts w:ascii="Arial" w:eastAsia="Calibri" w:hAnsi="Arial" w:cs="Arial"/>
      <w:b/>
      <w:bCs/>
      <w:sz w:val="26"/>
      <w:szCs w:val="26"/>
    </w:rPr>
  </w:style>
  <w:style w:type="paragraph" w:styleId="Textoindependiente3">
    <w:name w:val="Body Text 3"/>
    <w:basedOn w:val="Normal"/>
    <w:link w:val="Textoindependiente3Car"/>
    <w:semiHidden/>
    <w:unhideWhenUsed/>
    <w:rsid w:val="00B67177"/>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B67177"/>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B67177"/>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B67177"/>
    <w:pPr>
      <w:tabs>
        <w:tab w:val="center" w:pos="4252"/>
        <w:tab w:val="right" w:pos="8504"/>
      </w:tabs>
    </w:pPr>
  </w:style>
  <w:style w:type="character" w:customStyle="1" w:styleId="PiedepginaCar">
    <w:name w:val="Pie de página Car"/>
    <w:basedOn w:val="Fuentedeprrafopredeter"/>
    <w:link w:val="Piedepgina"/>
    <w:uiPriority w:val="99"/>
    <w:rsid w:val="00B67177"/>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
    <w:basedOn w:val="Normal"/>
    <w:link w:val="TextonotapieCar"/>
    <w:uiPriority w:val="99"/>
    <w:rsid w:val="00B67177"/>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B67177"/>
    <w:rPr>
      <w:rFonts w:ascii="Tahoma" w:eastAsia="Calibri" w:hAnsi="Tahoma" w:cs="Tahoma"/>
      <w:sz w:val="20"/>
      <w:szCs w:val="20"/>
    </w:rPr>
  </w:style>
  <w:style w:type="character" w:styleId="Refdenotaalpie">
    <w:name w:val="footnote reference"/>
    <w:basedOn w:val="Fuentedeprrafopredeter"/>
    <w:uiPriority w:val="99"/>
    <w:semiHidden/>
    <w:rsid w:val="00B67177"/>
    <w:rPr>
      <w:vertAlign w:val="superscript"/>
    </w:rPr>
  </w:style>
  <w:style w:type="paragraph" w:styleId="Textoindependiente">
    <w:name w:val="Body Text"/>
    <w:basedOn w:val="Normal"/>
    <w:link w:val="TextoindependienteCar"/>
    <w:uiPriority w:val="99"/>
    <w:semiHidden/>
    <w:unhideWhenUsed/>
    <w:rsid w:val="00B67177"/>
    <w:pPr>
      <w:spacing w:after="120"/>
    </w:pPr>
  </w:style>
  <w:style w:type="character" w:customStyle="1" w:styleId="TextoindependienteCar">
    <w:name w:val="Texto independiente Car"/>
    <w:basedOn w:val="Fuentedeprrafopredeter"/>
    <w:link w:val="Textoindependiente"/>
    <w:uiPriority w:val="99"/>
    <w:semiHidden/>
    <w:rsid w:val="00B67177"/>
    <w:rPr>
      <w:rFonts w:ascii="Calibri" w:eastAsia="Calibri" w:hAnsi="Calibri" w:cs="Times New Roman"/>
    </w:rPr>
  </w:style>
  <w:style w:type="paragraph" w:styleId="NormalWeb">
    <w:name w:val="Normal (Web)"/>
    <w:basedOn w:val="Normal"/>
    <w:uiPriority w:val="99"/>
    <w:rsid w:val="00B67177"/>
    <w:pPr>
      <w:spacing w:before="100" w:beforeAutospacing="1" w:after="100" w:afterAutospacing="1" w:line="240" w:lineRule="auto"/>
    </w:pPr>
    <w:rPr>
      <w:rFonts w:ascii="Times New Roman" w:hAnsi="Times New Roman"/>
      <w:sz w:val="24"/>
      <w:szCs w:val="24"/>
      <w:lang w:eastAsia="es-ES"/>
    </w:rPr>
  </w:style>
  <w:style w:type="paragraph" w:customStyle="1" w:styleId="Prrafodelista1">
    <w:name w:val="Párrafo de lista1"/>
    <w:basedOn w:val="Normal"/>
    <w:uiPriority w:val="99"/>
    <w:rsid w:val="00B67177"/>
    <w:pPr>
      <w:spacing w:after="0" w:line="240" w:lineRule="auto"/>
      <w:ind w:left="720"/>
    </w:pPr>
    <w:rPr>
      <w:rFonts w:ascii="Times New Roman" w:hAnsi="Times New Roman"/>
      <w:sz w:val="24"/>
      <w:szCs w:val="24"/>
      <w:lang w:eastAsia="es-ES"/>
    </w:rPr>
  </w:style>
  <w:style w:type="character" w:styleId="nfasis">
    <w:name w:val="Emphasis"/>
    <w:basedOn w:val="Fuentedeprrafopredeter"/>
    <w:uiPriority w:val="99"/>
    <w:qFormat/>
    <w:rsid w:val="00B67177"/>
    <w:rPr>
      <w:i/>
      <w:iCs/>
    </w:rPr>
  </w:style>
  <w:style w:type="paragraph" w:styleId="Encabezado">
    <w:name w:val="header"/>
    <w:aliases w:val="maria,h"/>
    <w:basedOn w:val="Normal"/>
    <w:link w:val="EncabezadoCar"/>
    <w:uiPriority w:val="99"/>
    <w:semiHidden/>
    <w:unhideWhenUsed/>
    <w:rsid w:val="000016C2"/>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0016C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13</Pages>
  <Words>4850</Words>
  <Characters>26679</Characters>
  <Application>Microsoft Office Word</Application>
  <DocSecurity>0</DocSecurity>
  <Lines>222</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12</cp:revision>
  <dcterms:created xsi:type="dcterms:W3CDTF">2011-04-04T21:04:00Z</dcterms:created>
  <dcterms:modified xsi:type="dcterms:W3CDTF">2011-05-13T14:34:00Z</dcterms:modified>
</cp:coreProperties>
</file>